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850244" w:rsidRDefault="00850244" w:rsidP="008502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Финансового факультета</w:t>
      </w: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0244" w:rsidRDefault="00850244" w:rsidP="0085024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4883"/>
        <w:gridCol w:w="4882"/>
      </w:tblGrid>
      <w:tr w:rsidR="00850244" w:rsidTr="00850244">
        <w:trPr>
          <w:trHeight w:val="1420"/>
        </w:trPr>
        <w:tc>
          <w:tcPr>
            <w:tcW w:w="4882" w:type="dxa"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50244" w:rsidRDefault="008502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81" w:type="dxa"/>
            <w:hideMark/>
          </w:tcPr>
          <w:p w:rsidR="00850244" w:rsidRDefault="00850244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50244" w:rsidRDefault="0085024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Проректор по учебной и</w:t>
            </w:r>
          </w:p>
          <w:p w:rsidR="00850244" w:rsidRDefault="0085024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методической работе</w:t>
            </w:r>
          </w:p>
          <w:p w:rsidR="00850244" w:rsidRDefault="0085024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__________Е.А. Каменева</w:t>
            </w:r>
          </w:p>
          <w:p w:rsidR="00850244" w:rsidRDefault="008502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«</w:t>
            </w:r>
            <w:r w:rsidR="007143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4370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</w:tbl>
    <w:p w:rsidR="00850244" w:rsidRDefault="00850244" w:rsidP="00850244"/>
    <w:p w:rsidR="00850244" w:rsidRDefault="00850244" w:rsidP="00850244">
      <w:pPr>
        <w:pStyle w:val="Default"/>
      </w:pPr>
    </w:p>
    <w:p w:rsidR="00850244" w:rsidRDefault="00850244" w:rsidP="0085024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Терновская Е.П.</w:t>
      </w:r>
    </w:p>
    <w:p w:rsidR="00850244" w:rsidRDefault="00850244" w:rsidP="00850244">
      <w:pPr>
        <w:pStyle w:val="Default"/>
      </w:pPr>
    </w:p>
    <w:p w:rsidR="00850244" w:rsidRDefault="00850244" w:rsidP="00850244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КОРПОРАТИВНОЕ УПРАВЛЕНИЕ В КОММЕРЧЕСКОМ БАНКЕ</w:t>
      </w:r>
    </w:p>
    <w:p w:rsidR="00850244" w:rsidRDefault="00850244" w:rsidP="0085024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38.04.08 - </w:t>
      </w:r>
      <w:r>
        <w:rPr>
          <w:rFonts w:eastAsia="Times New Roman"/>
          <w:sz w:val="28"/>
          <w:szCs w:val="28"/>
        </w:rPr>
        <w:t>Финансы и кредит,</w:t>
      </w: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850244" w:rsidRDefault="00850244" w:rsidP="008502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Современное банковское дело и финансовые технологии</w:t>
      </w:r>
    </w:p>
    <w:p w:rsidR="00850244" w:rsidRDefault="00850244" w:rsidP="00850244">
      <w:pPr>
        <w:pStyle w:val="Default"/>
      </w:pPr>
    </w:p>
    <w:p w:rsidR="00850244" w:rsidRDefault="00850244" w:rsidP="00850244">
      <w:pPr>
        <w:pStyle w:val="Default"/>
        <w:rPr>
          <w:i/>
          <w:iCs/>
        </w:rPr>
      </w:pPr>
    </w:p>
    <w:p w:rsidR="00850244" w:rsidRDefault="00850244" w:rsidP="00850244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Р</w:t>
      </w:r>
      <w:r>
        <w:rPr>
          <w:rFonts w:ascii="Times New Roman" w:hAnsi="Times New Roman"/>
          <w:i/>
          <w:sz w:val="26"/>
          <w:szCs w:val="26"/>
        </w:rPr>
        <w:t xml:space="preserve">екомендовано Ученым советом Финансового факультета  </w:t>
      </w:r>
    </w:p>
    <w:p w:rsidR="00850244" w:rsidRDefault="00850244" w:rsidP="00850244">
      <w:pPr>
        <w:widowControl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pacing w:val="-3"/>
          <w:sz w:val="26"/>
          <w:szCs w:val="26"/>
        </w:rPr>
        <w:t>(протокол № 32 от 21 марта 2023 г.)</w:t>
      </w:r>
    </w:p>
    <w:p w:rsidR="00850244" w:rsidRDefault="00850244" w:rsidP="00850244">
      <w:pPr>
        <w:widowControl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pacing w:val="-3"/>
          <w:sz w:val="26"/>
          <w:szCs w:val="26"/>
        </w:rPr>
        <w:t xml:space="preserve">Одобрено </w:t>
      </w:r>
      <w:r>
        <w:rPr>
          <w:rFonts w:ascii="Times New Roman" w:hAnsi="Times New Roman"/>
          <w:i/>
          <w:sz w:val="26"/>
          <w:szCs w:val="26"/>
        </w:rPr>
        <w:t>учебно-научным</w:t>
      </w:r>
      <w:r>
        <w:rPr>
          <w:rFonts w:ascii="Times New Roman" w:hAnsi="Times New Roman"/>
          <w:i/>
          <w:iCs/>
          <w:spacing w:val="-3"/>
          <w:sz w:val="26"/>
          <w:szCs w:val="26"/>
        </w:rPr>
        <w:t xml:space="preserve"> Департаментом банковского дела и монетарного регулирования </w:t>
      </w:r>
    </w:p>
    <w:p w:rsidR="00850244" w:rsidRDefault="00850244" w:rsidP="00850244">
      <w:pPr>
        <w:widowControl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pacing w:val="-3"/>
          <w:sz w:val="26"/>
          <w:szCs w:val="26"/>
        </w:rPr>
        <w:t>(протокол № 13 от 01 марта 2023 г.)</w:t>
      </w:r>
    </w:p>
    <w:p w:rsidR="00850244" w:rsidRDefault="00850244" w:rsidP="00850244">
      <w:pPr>
        <w:jc w:val="center"/>
        <w:rPr>
          <w:rFonts w:ascii="Times New Roman" w:hAnsi="Times New Roman"/>
          <w:sz w:val="26"/>
          <w:szCs w:val="26"/>
        </w:rPr>
      </w:pPr>
    </w:p>
    <w:p w:rsidR="00850244" w:rsidRDefault="00850244" w:rsidP="0085024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8461751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850244" w:rsidRDefault="00850244" w:rsidP="00850244">
          <w:pPr>
            <w:pStyle w:val="af8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850244" w:rsidRDefault="00850244" w:rsidP="00850244">
          <w:pPr>
            <w:rPr>
              <w:lang w:eastAsia="ru-RU"/>
            </w:rPr>
          </w:pPr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8" w:anchor="_Toc119582440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_Toc119582440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rStyle w:val="aff5"/>
                <w:webHidden/>
                <w:sz w:val="28"/>
                <w:szCs w:val="28"/>
              </w:rPr>
              <w:tab/>
              <w:t>3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9" w:anchor="_Toc119582441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_Toc119582441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rStyle w:val="aff5"/>
                <w:webHidden/>
                <w:sz w:val="28"/>
                <w:szCs w:val="28"/>
              </w:rPr>
              <w:tab/>
              <w:t>3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0" w:anchor="_Toc119582442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_Toc119582442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rStyle w:val="aff5"/>
                <w:webHidden/>
                <w:sz w:val="28"/>
                <w:szCs w:val="28"/>
              </w:rPr>
              <w:tab/>
            </w:r>
            <w:r>
              <w:rPr>
                <w:rStyle w:val="aff5"/>
                <w:webHidden/>
                <w:sz w:val="28"/>
                <w:szCs w:val="28"/>
              </w:rPr>
              <w:t>5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1" w:anchor="_Toc119582443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_Toc119582443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rStyle w:val="aff5"/>
                <w:webHidden/>
                <w:sz w:val="28"/>
                <w:szCs w:val="28"/>
              </w:rPr>
              <w:tab/>
            </w:r>
            <w:r>
              <w:rPr>
                <w:rStyle w:val="aff5"/>
                <w:webHidden/>
                <w:sz w:val="28"/>
                <w:szCs w:val="28"/>
              </w:rPr>
              <w:t>6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2" w:anchor="_Toc119582444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_Toc119582444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rStyle w:val="aff5"/>
                <w:webHidden/>
                <w:sz w:val="28"/>
                <w:szCs w:val="28"/>
              </w:rPr>
              <w:tab/>
            </w:r>
            <w:r>
              <w:rPr>
                <w:rStyle w:val="aff5"/>
                <w:webHidden/>
                <w:sz w:val="28"/>
                <w:szCs w:val="28"/>
              </w:rPr>
              <w:t>6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2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3" w:anchor="_Toc119582445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_Toc119582445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5.1. Содержание дисциплины</w:t>
            </w:r>
            <w:r>
              <w:rPr>
                <w:rStyle w:val="aff5"/>
                <w:webHidden/>
                <w:sz w:val="28"/>
                <w:szCs w:val="28"/>
              </w:rPr>
              <w:tab/>
            </w:r>
            <w:r>
              <w:rPr>
                <w:rStyle w:val="aff5"/>
                <w:webHidden/>
                <w:sz w:val="28"/>
                <w:szCs w:val="28"/>
              </w:rPr>
              <w:t>6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2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4" w:anchor="_Toc119582446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_Toc119582446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5.2. Учебно-тематический план</w:t>
            </w:r>
            <w:r>
              <w:rPr>
                <w:rStyle w:val="aff5"/>
                <w:webHidden/>
                <w:sz w:val="28"/>
                <w:szCs w:val="28"/>
              </w:rPr>
              <w:tab/>
              <w:t>1</w:t>
            </w:r>
            <w:r>
              <w:rPr>
                <w:rStyle w:val="aff5"/>
                <w:webHidden/>
                <w:sz w:val="28"/>
                <w:szCs w:val="28"/>
              </w:rPr>
              <w:t>1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2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5" w:anchor="_Toc119582447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_Toc119582447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Style w:val="aff5"/>
                <w:webHidden/>
                <w:sz w:val="28"/>
                <w:szCs w:val="28"/>
              </w:rPr>
              <w:tab/>
              <w:t>1</w:t>
            </w:r>
            <w:r>
              <w:rPr>
                <w:rStyle w:val="aff5"/>
                <w:webHidden/>
                <w:sz w:val="28"/>
                <w:szCs w:val="28"/>
              </w:rPr>
              <w:t>2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6" w:anchor="_Toc119582448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_Toc119582448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rStyle w:val="aff5"/>
                <w:webHidden/>
                <w:sz w:val="28"/>
                <w:szCs w:val="28"/>
              </w:rPr>
              <w:tab/>
              <w:t>1</w:t>
            </w:r>
            <w:r>
              <w:rPr>
                <w:rStyle w:val="aff5"/>
                <w:webHidden/>
                <w:sz w:val="28"/>
                <w:szCs w:val="28"/>
              </w:rPr>
              <w:t>6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2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7" w:anchor="_Toc119582449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_Toc119582449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rStyle w:val="aff5"/>
                <w:webHidden/>
                <w:sz w:val="28"/>
                <w:szCs w:val="28"/>
              </w:rPr>
              <w:tab/>
              <w:t>1</w:t>
            </w:r>
            <w:r>
              <w:rPr>
                <w:rStyle w:val="aff5"/>
                <w:webHidden/>
                <w:sz w:val="28"/>
                <w:szCs w:val="28"/>
              </w:rPr>
              <w:t>6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2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8" w:anchor="_Toc119582450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_Toc119582450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>
              <w:rPr>
                <w:rStyle w:val="aff5"/>
                <w:webHidden/>
                <w:sz w:val="28"/>
                <w:szCs w:val="28"/>
              </w:rPr>
              <w:tab/>
              <w:t>18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19" w:anchor="_Toc119582451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_Toc119582451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Style w:val="aff5"/>
                <w:webHidden/>
                <w:sz w:val="28"/>
                <w:szCs w:val="28"/>
              </w:rPr>
              <w:tab/>
              <w:t>2</w:t>
            </w:r>
            <w:r>
              <w:rPr>
                <w:rStyle w:val="aff5"/>
                <w:webHidden/>
                <w:sz w:val="28"/>
                <w:szCs w:val="28"/>
              </w:rPr>
              <w:t>0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20" w:anchor="_Toc119582452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_Toc119582452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rStyle w:val="aff5"/>
                <w:webHidden/>
                <w:sz w:val="28"/>
                <w:szCs w:val="28"/>
              </w:rPr>
              <w:tab/>
            </w:r>
            <w:r>
              <w:rPr>
                <w:rStyle w:val="aff5"/>
                <w:webHidden/>
                <w:sz w:val="28"/>
                <w:szCs w:val="28"/>
              </w:rPr>
              <w:t>29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21" w:anchor="_Toc119582453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_Toc119582453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Style w:val="aff5"/>
                <w:webHidden/>
                <w:sz w:val="28"/>
                <w:szCs w:val="28"/>
              </w:rPr>
              <w:tab/>
              <w:t>3</w:t>
            </w:r>
            <w:r>
              <w:rPr>
                <w:rStyle w:val="aff5"/>
                <w:webHidden/>
                <w:sz w:val="28"/>
                <w:szCs w:val="28"/>
              </w:rPr>
              <w:t>1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22" w:anchor="_Toc119582454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_Toc119582454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rStyle w:val="aff5"/>
                <w:webHidden/>
                <w:sz w:val="28"/>
                <w:szCs w:val="28"/>
              </w:rPr>
              <w:tab/>
              <w:t>3</w:t>
            </w:r>
            <w:r>
              <w:rPr>
                <w:rStyle w:val="aff5"/>
                <w:webHidden/>
                <w:sz w:val="28"/>
                <w:szCs w:val="28"/>
              </w:rPr>
              <w:t>2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714370" w:rsidRDefault="00714370" w:rsidP="00714370">
          <w:pPr>
            <w:pStyle w:val="11"/>
            <w:tabs>
              <w:tab w:val="right" w:leader="dot" w:pos="10195"/>
            </w:tabs>
            <w:spacing w:after="0" w:line="276" w:lineRule="auto"/>
            <w:jc w:val="both"/>
            <w:rPr>
              <w:rFonts w:asciiTheme="minorHAnsi" w:hAnsiTheme="minorHAnsi" w:cstheme="minorBidi"/>
              <w:sz w:val="28"/>
              <w:szCs w:val="28"/>
            </w:rPr>
          </w:pPr>
          <w:hyperlink r:id="rId23" w:anchor="_Toc119582455" w:history="1">
            <w:r>
              <w:rPr>
                <w:rStyle w:val="aff5"/>
                <w:webHidden/>
              </w:rPr>
              <w:fldChar w:fldCharType="begin"/>
            </w:r>
            <w:r>
              <w:rPr>
                <w:rStyle w:val="aff5"/>
                <w:webHidden/>
              </w:rPr>
              <w:instrText>PAGEREF _Toc119582455 \h</w:instrText>
            </w:r>
            <w:r>
              <w:rPr>
                <w:rStyle w:val="aff5"/>
                <w:webHidden/>
              </w:rPr>
            </w:r>
            <w:r>
              <w:rPr>
                <w:rStyle w:val="aff5"/>
                <w:webHidden/>
              </w:rPr>
              <w:fldChar w:fldCharType="separate"/>
            </w:r>
            <w:r>
              <w:rPr>
                <w:rStyle w:val="aff5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rStyle w:val="aff5"/>
                <w:webHidden/>
                <w:sz w:val="28"/>
                <w:szCs w:val="28"/>
              </w:rPr>
              <w:tab/>
              <w:t>3</w:t>
            </w:r>
            <w:r>
              <w:rPr>
                <w:rStyle w:val="aff5"/>
                <w:webHidden/>
                <w:sz w:val="28"/>
                <w:szCs w:val="28"/>
              </w:rPr>
              <w:t>2</w:t>
            </w:r>
            <w:r>
              <w:rPr>
                <w:rStyle w:val="aff5"/>
                <w:webHidden/>
              </w:rPr>
              <w:fldChar w:fldCharType="end"/>
            </w:r>
          </w:hyperlink>
        </w:p>
        <w:p w:rsidR="00850244" w:rsidRPr="00714370" w:rsidRDefault="00714370" w:rsidP="00714370">
          <w:pPr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hyperlink r:id="rId24" w:anchor="_Toc119582458" w:history="1">
            <w:r w:rsidRPr="00714370">
              <w:rPr>
                <w:rStyle w:val="aff5"/>
                <w:rFonts w:ascii="Times New Roman" w:hAnsi="Times New Roman" w:cs="Times New Roman"/>
                <w:webHidden/>
              </w:rPr>
              <w:fldChar w:fldCharType="begin"/>
            </w:r>
            <w:r w:rsidRPr="00714370">
              <w:rPr>
                <w:rStyle w:val="aff5"/>
                <w:rFonts w:ascii="Times New Roman" w:hAnsi="Times New Roman" w:cs="Times New Roman"/>
                <w:webHidden/>
              </w:rPr>
              <w:instrText>PAGEREF _Toc119582458 \h</w:instrText>
            </w:r>
            <w:r w:rsidRPr="00714370">
              <w:rPr>
                <w:rStyle w:val="aff5"/>
                <w:rFonts w:ascii="Times New Roman" w:hAnsi="Times New Roman" w:cs="Times New Roman"/>
                <w:webHidden/>
              </w:rPr>
            </w:r>
            <w:r w:rsidRPr="00714370">
              <w:rPr>
                <w:rStyle w:val="aff5"/>
                <w:rFonts w:ascii="Times New Roman" w:hAnsi="Times New Roman" w:cs="Times New Roman"/>
                <w:webHidden/>
              </w:rPr>
              <w:fldChar w:fldCharType="separate"/>
            </w:r>
            <w:r w:rsidRPr="00714370">
              <w:rPr>
                <w:rStyle w:val="aff5"/>
                <w:rFonts w:ascii="Times New Roman" w:hAnsi="Times New Roman" w:cs="Times New Roman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rStyle w:val="aff5"/>
                <w:rFonts w:ascii="Times New Roman" w:hAnsi="Times New Roman" w:cs="Times New Roman"/>
                <w:webHidden/>
                <w:sz w:val="28"/>
                <w:szCs w:val="28"/>
              </w:rPr>
              <w:t>…………………...</w:t>
            </w:r>
            <w:r w:rsidRPr="00714370">
              <w:rPr>
                <w:rStyle w:val="aff5"/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>
              <w:rPr>
                <w:rStyle w:val="aff5"/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714370">
              <w:rPr>
                <w:rStyle w:val="aff5"/>
                <w:rFonts w:ascii="Times New Roman" w:hAnsi="Times New Roman" w:cs="Times New Roman"/>
                <w:webHidden/>
              </w:rPr>
              <w:fldChar w:fldCharType="end"/>
            </w:r>
          </w:hyperlink>
        </w:p>
      </w:sdtContent>
    </w:sdt>
    <w:p w:rsidR="00850244" w:rsidRDefault="00850244" w:rsidP="00850244">
      <w:pPr>
        <w:pStyle w:val="Default"/>
        <w:ind w:firstLine="426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ind w:firstLine="426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ind w:firstLine="426"/>
        <w:rPr>
          <w:b/>
          <w:bCs/>
          <w:sz w:val="28"/>
          <w:szCs w:val="28"/>
        </w:rPr>
      </w:pPr>
    </w:p>
    <w:p w:rsidR="00714370" w:rsidRDefault="00714370" w:rsidP="00850244">
      <w:pPr>
        <w:pStyle w:val="Default"/>
        <w:widowControl w:val="0"/>
        <w:suppressAutoHyphens w:val="0"/>
        <w:ind w:firstLine="426"/>
        <w:rPr>
          <w:b/>
          <w:bCs/>
          <w:sz w:val="28"/>
          <w:szCs w:val="28"/>
        </w:rPr>
      </w:pPr>
    </w:p>
    <w:p w:rsidR="00714370" w:rsidRDefault="00714370" w:rsidP="00850244">
      <w:pPr>
        <w:pStyle w:val="Default"/>
        <w:widowControl w:val="0"/>
        <w:suppressAutoHyphens w:val="0"/>
        <w:ind w:firstLine="426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ind w:firstLine="426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Наименование дисциплины </w:t>
      </w:r>
    </w:p>
    <w:p w:rsidR="00850244" w:rsidRDefault="00850244" w:rsidP="00850244">
      <w:pPr>
        <w:pStyle w:val="Default"/>
        <w:widowControl w:val="0"/>
        <w:suppressAutoHyphens w:val="0"/>
        <w:jc w:val="both"/>
        <w:rPr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«Корпоративное управление в коммерческом банке»</w:t>
      </w:r>
    </w:p>
    <w:p w:rsidR="00850244" w:rsidRDefault="00850244" w:rsidP="00850244">
      <w:pPr>
        <w:pStyle w:val="Default"/>
        <w:widowControl w:val="0"/>
        <w:suppressAutoHyphens w:val="0"/>
        <w:jc w:val="both"/>
        <w:rPr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ind w:firstLine="42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50244" w:rsidRPr="00850244" w:rsidRDefault="00850244" w:rsidP="00850244">
      <w:pPr>
        <w:pStyle w:val="Default"/>
        <w:widowControl w:val="0"/>
        <w:suppressAutoHyphens w:val="0"/>
        <w:ind w:firstLine="425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  <w:r w:rsidRPr="00850244">
        <w:rPr>
          <w:bCs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86"/>
        <w:gridCol w:w="2930"/>
        <w:gridCol w:w="2326"/>
        <w:gridCol w:w="2545"/>
      </w:tblGrid>
      <w:tr w:rsidR="00850244" w:rsidTr="00850244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50244" w:rsidTr="00134CAC">
        <w:trPr>
          <w:trHeight w:val="982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теоретические основы системы корпоративного управления в банке, принципы его построения;</w:t>
            </w: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слабые места в практике корпоративного управления банка, обосновывать предложения по ее совершенствованию</w:t>
            </w: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Pr="00850244" w:rsidRDefault="00850244" w:rsidP="00850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44" w:rsidTr="00850244">
        <w:trPr>
          <w:trHeight w:val="7451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и особенности стратегического управления, подходы к оценке качества стратегий банков</w:t>
            </w: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анализировать данные о стратегии банка и вносить обоснованные предложения по ее совершенствованию</w:t>
            </w:r>
          </w:p>
          <w:p w:rsidR="00850244" w:rsidRDefault="00850244" w:rsidP="00850244">
            <w:pPr>
              <w:pStyle w:val="Default"/>
              <w:widowControl w:val="0"/>
              <w:suppressAutoHyphens w:val="0"/>
              <w:rPr>
                <w:sz w:val="25"/>
                <w:szCs w:val="25"/>
              </w:rPr>
            </w:pPr>
          </w:p>
        </w:tc>
      </w:tr>
      <w:tr w:rsidR="00850244" w:rsidTr="00850244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Организовывает работу в команде, ставит цели командной работы.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теоретические основы организации работы членов совета директоров коммерческого банка</w:t>
            </w: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распределять полномочия внутри команды на основе декомпозиции цели и распределения отдельных задач между членами команды</w:t>
            </w: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244" w:rsidTr="00850244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положения российского Кодекса корпоративного управления и формы отчетности о его соблюдении</w:t>
            </w: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 сведения о состоянии корпоративного управления коммерческого банка, полученную от других членов команды, в целях оценки степени соблюдения банком Кодекса корпоративного управления</w:t>
            </w: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244" w:rsidTr="00850244">
        <w:trPr>
          <w:trHeight w:val="5806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850244">
            <w:pPr>
              <w:widowControl w:val="0"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ответственность членов Совета директоров и коллегиального исполнительного органа коммерческого банка за принимаемые решения в области корпоративного управления</w:t>
            </w: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 w:rsidP="00850244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обоснованные предложения по улучшению практики корпоративного управления в коммерческом банке</w:t>
            </w:r>
          </w:p>
        </w:tc>
      </w:tr>
    </w:tbl>
    <w:p w:rsidR="00850244" w:rsidRDefault="00850244" w:rsidP="00850244">
      <w:pPr>
        <w:pStyle w:val="Default"/>
        <w:widowControl w:val="0"/>
        <w:suppressAutoHyphens w:val="0"/>
        <w:jc w:val="center"/>
      </w:pPr>
    </w:p>
    <w:p w:rsidR="00850244" w:rsidRDefault="00850244" w:rsidP="00850244">
      <w:pPr>
        <w:pStyle w:val="Default"/>
        <w:widowControl w:val="0"/>
        <w:suppressAutoHyphens w:val="0"/>
        <w:jc w:val="center"/>
      </w:pPr>
    </w:p>
    <w:p w:rsidR="00850244" w:rsidRDefault="00850244" w:rsidP="00850244">
      <w:pPr>
        <w:pStyle w:val="Default"/>
        <w:widowControl w:val="0"/>
        <w:suppressAutoHyphens w:val="0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3. Место дисциплины в структуре образовательной программы </w:t>
      </w:r>
    </w:p>
    <w:p w:rsidR="00850244" w:rsidRDefault="00850244" w:rsidP="00850244">
      <w:pPr>
        <w:pStyle w:val="Default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«Корпоративное управление в коммерческом банке» является дисциплиной по выбору направленности программы магистратуры «Современное банковское дело и финансовые технологии» направления подготовки 38.04.08- Финансы и кредит. Она позволяет сформировать у будущих специалистов в области банковского дела методологическую основу и узнать современные подходы к организации корпоративного управления в кредитной организации с целью определения методов его совершенствования. </w:t>
      </w:r>
    </w:p>
    <w:p w:rsidR="00850244" w:rsidRDefault="00850244" w:rsidP="00850244">
      <w:pPr>
        <w:pStyle w:val="Default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освоения данной дисциплины студентам необходимо понимать </w:t>
      </w:r>
      <w:r>
        <w:rPr>
          <w:sz w:val="28"/>
          <w:szCs w:val="28"/>
        </w:rPr>
        <w:lastRenderedPageBreak/>
        <w:t>основы банковского менеджмента, знать подходы Банка России к организации банковского регулирования и надзора, владеть навыками анализа и оценки различных сторон деятельности банка.</w:t>
      </w:r>
    </w:p>
    <w:p w:rsidR="00850244" w:rsidRDefault="00850244" w:rsidP="00850244">
      <w:pPr>
        <w:pStyle w:val="Default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850244" w:rsidRDefault="00850244" w:rsidP="00850244">
      <w:pPr>
        <w:pStyle w:val="Default"/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850244" w:rsidRDefault="00850244" w:rsidP="00850244">
      <w:pPr>
        <w:widowControl w:val="0"/>
        <w:suppressAutoHyphens w:val="0"/>
        <w:ind w:left="567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485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651"/>
        <w:gridCol w:w="1840"/>
        <w:gridCol w:w="1711"/>
      </w:tblGrid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8</w:t>
            </w:r>
          </w:p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 108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850244" w:rsidTr="00850244"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 w:rsidP="00850244">
            <w:pPr>
              <w:pStyle w:val="af7"/>
              <w:suppressAutoHyphens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850244" w:rsidRDefault="00850244" w:rsidP="00850244">
      <w:pPr>
        <w:pStyle w:val="Default"/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850244" w:rsidRDefault="00850244" w:rsidP="00850244">
      <w:pPr>
        <w:pStyle w:val="Default"/>
        <w:widowControl w:val="0"/>
        <w:suppressAutoHyphens w:val="0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widowControl w:val="0"/>
        <w:suppressAutoHyphen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5.1. Содержание дисциплины </w:t>
      </w:r>
    </w:p>
    <w:p w:rsidR="00850244" w:rsidRDefault="00850244" w:rsidP="00850244">
      <w:pPr>
        <w:pStyle w:val="Default"/>
        <w:widowControl w:val="0"/>
        <w:suppressAutoHyphens w:val="0"/>
        <w:rPr>
          <w:b/>
          <w:bCs/>
          <w:sz w:val="28"/>
          <w:szCs w:val="28"/>
        </w:rPr>
      </w:pPr>
    </w:p>
    <w:p w:rsidR="00850244" w:rsidRDefault="00850244" w:rsidP="00850244">
      <w:pPr>
        <w:pStyle w:val="Style13"/>
        <w:suppressAutoHyphens w:val="0"/>
        <w:spacing w:line="240" w:lineRule="auto"/>
        <w:ind w:firstLine="709"/>
        <w:jc w:val="both"/>
        <w:rPr>
          <w:rStyle w:val="FontStyle72"/>
        </w:rPr>
      </w:pPr>
      <w:r>
        <w:rPr>
          <w:rStyle w:val="FontStyle72"/>
        </w:rPr>
        <w:t>Тема 1. Понятие и принципы корпоративного управления</w:t>
      </w:r>
    </w:p>
    <w:p w:rsidR="00850244" w:rsidRDefault="00850244" w:rsidP="00850244">
      <w:pPr>
        <w:pStyle w:val="Style13"/>
        <w:suppressAutoHyphens w:val="0"/>
        <w:spacing w:line="240" w:lineRule="auto"/>
        <w:ind w:firstLine="709"/>
        <w:jc w:val="both"/>
        <w:rPr>
          <w:rStyle w:val="FontStyle72"/>
        </w:rPr>
      </w:pPr>
    </w:p>
    <w:p w:rsidR="00850244" w:rsidRDefault="00850244" w:rsidP="00850244">
      <w:pPr>
        <w:pStyle w:val="Style46"/>
        <w:suppressAutoHyphens w:val="0"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Необходимость корпоративного управления и его предпосылки. Цели корпоративного управления, его отличия от текущего управления банком. Существующие подходы к определению корпоративного управления, в т.ч. по версии Организации экономического сотрудничества и развития (ОЭСР), Базельского комитета по банковскому надзору (БКБН), Банка России и др.</w:t>
      </w:r>
    </w:p>
    <w:p w:rsidR="00850244" w:rsidRDefault="00850244" w:rsidP="00850244">
      <w:pPr>
        <w:pStyle w:val="Style46"/>
        <w:suppressAutoHyphens w:val="0"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Корпоративное управление как система отчетности перед акционерами лиц, которым доверено текущее руководство компанией. Корпоративное управление как способ управления компанией, который обеспечивает справедливое и равноправное распределение результатов деятельности между всеми акционерами, а также иными заинтересованными лицами.</w:t>
      </w:r>
    </w:p>
    <w:p w:rsidR="00850244" w:rsidRDefault="00850244" w:rsidP="00850244">
      <w:pPr>
        <w:pStyle w:val="Style46"/>
        <w:suppressAutoHyphens w:val="0"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Корпоративное управление как комплекс мер и правил, которые помогают акционерам контролировать руководство компании и влиять на менеджмент с целью максимизации прибыли и стоимости предприятия.</w:t>
      </w:r>
    </w:p>
    <w:p w:rsidR="00850244" w:rsidRDefault="00850244" w:rsidP="00850244">
      <w:pPr>
        <w:pStyle w:val="Style46"/>
        <w:suppressAutoHyphens w:val="0"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Корпоративное управление как система взаимоотношений между менеджерами компании и их владельцами по вопросам обеспечения эффективности деятельности </w:t>
      </w:r>
      <w:r>
        <w:rPr>
          <w:rStyle w:val="FontStyle73"/>
        </w:rPr>
        <w:lastRenderedPageBreak/>
        <w:t>компании и защите интересов владельцев, а также других заинтересованных сторон. Корпоративное управление как основа достижения целей и средств эффективной деятельности банка путем контроля и мониторинга.</w:t>
      </w:r>
    </w:p>
    <w:p w:rsidR="00850244" w:rsidRDefault="00850244" w:rsidP="00850244">
      <w:pPr>
        <w:pStyle w:val="Style23"/>
        <w:suppressAutoHyphens w:val="0"/>
        <w:ind w:firstLine="709"/>
        <w:jc w:val="both"/>
      </w:pPr>
      <w:r>
        <w:rPr>
          <w:sz w:val="26"/>
          <w:szCs w:val="26"/>
        </w:rPr>
        <w:t>Общие принципы корпоративного управления (ОЭСР, 2015). Обеспечение основы для эффективной системы корпоративного управления, права акционеров, равное отношение к акционерам и основные функции собственности, обязанности совета директоров, институциональные инвесторы, фондовые рынки и иные посредники, роль заинтересованных сторон (стейкхолдеров) в корпоративном управлении, раскрытие информации и прозрачность.</w:t>
      </w:r>
    </w:p>
    <w:p w:rsidR="00850244" w:rsidRDefault="00850244" w:rsidP="00850244">
      <w:pPr>
        <w:pStyle w:val="Style23"/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Частные принципы корпоративного управления в банках (БКБН, 2015). Организация работы совета директоров (состав и структура, функции, сфера ответственности и т.п.), деятельность исполнительного руководства, формирование корпоративной культуры, управление рисками, внутренний аудит, системы оплаты труда, раскрытие информации, роль органов надзора.</w:t>
      </w:r>
    </w:p>
    <w:p w:rsidR="00850244" w:rsidRDefault="00850244" w:rsidP="00850244">
      <w:pPr>
        <w:pStyle w:val="Style23"/>
        <w:suppressAutoHyphens w:val="0"/>
        <w:ind w:firstLine="709"/>
        <w:jc w:val="both"/>
        <w:rPr>
          <w:rStyle w:val="FontStyle72"/>
        </w:rPr>
      </w:pPr>
    </w:p>
    <w:p w:rsidR="00850244" w:rsidRDefault="00850244" w:rsidP="00850244">
      <w:pPr>
        <w:pStyle w:val="Style23"/>
        <w:suppressAutoHyphens w:val="0"/>
        <w:ind w:firstLine="709"/>
        <w:jc w:val="both"/>
        <w:rPr>
          <w:rStyle w:val="FontStyle72"/>
        </w:rPr>
      </w:pPr>
      <w:r>
        <w:rPr>
          <w:rStyle w:val="FontStyle72"/>
        </w:rPr>
        <w:t xml:space="preserve">Тема </w:t>
      </w:r>
      <w:r>
        <w:rPr>
          <w:rStyle w:val="FontStyle58"/>
        </w:rPr>
        <w:t>2</w:t>
      </w:r>
      <w:r>
        <w:rPr>
          <w:rStyle w:val="FontStyle72"/>
        </w:rPr>
        <w:t>. Участники и инфраструктура корпоративного управления</w:t>
      </w:r>
    </w:p>
    <w:p w:rsidR="00850244" w:rsidRDefault="00850244" w:rsidP="00850244">
      <w:pPr>
        <w:pStyle w:val="Style23"/>
        <w:suppressAutoHyphens w:val="0"/>
        <w:ind w:firstLine="709"/>
        <w:jc w:val="both"/>
        <w:rPr>
          <w:rStyle w:val="FontStyle72"/>
        </w:rPr>
      </w:pPr>
    </w:p>
    <w:p w:rsidR="00850244" w:rsidRDefault="00850244" w:rsidP="00850244">
      <w:pPr>
        <w:pStyle w:val="Style8"/>
        <w:suppressAutoHyphens w:val="0"/>
        <w:ind w:firstLine="709"/>
      </w:pPr>
      <w:r>
        <w:rPr>
          <w:sz w:val="26"/>
          <w:szCs w:val="26"/>
        </w:rPr>
        <w:t>Ключевые участники и инфраструктура корпоративного управления, роль и ответственность действующих лиц процесса корпоративного управления в коммерческом банке.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Органы регулирования и надзора: создание правовой среды корпоративного управления и управления риском. Предписывающий или рыночно ориентированный подход к регулированию банковской деятельности.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Роль акционеров в системе корпоративного управления: определение вектора развития банка, избрание компетентного совета директоров. Повышение требований органов надзора к раскрытию информации об акционерах, к правилам лицензирования банков и к личности и репутации самих акционеров. Оценка состава владельцев банка и структуры собственности (концентрированная, дисперсная), содержания устава, реального вклада акционеров в управление банком.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Совет директоров: ключевой орган управления банком. Полномочия членов совета директоров (наблюдательного совета), его состав, структура комитетов при совете директоров. Задачи совета директоров в области управления рисками банка. Подходы к оценке эффективности совета директоров (достаточность компетенций, доля независимых директоров, объем полномочий, наличие конфликта интересов и т.п.).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Исполнительный менеджмент: ответственность за операции банка и реализацию политики управления рисками. Требования к квалификации и опыту. Обязанности менеджмента, распределение полномочий по управлению банком между советом директоров и менеджментом. Проблема стимулирования менеджмента к проведению осмотрительной политики в интересах всех заинтересованных лиц. Подходы к оценке качества менеджмента.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Аудиторский комитет и внутренние аудиторы: расширение функции Совета директоров в области управления риском. Роль и задачи внутреннего аудита.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>Внешние аудиторы: переоценка традиционного подхода к аудиту банков. Их роль в системе корпоративного управления. Проблема повышения их ответственности и объективности.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Роль общественности в управлении банком. Требования к раскрытию банками информации о состоянии своих дел. Повышение значения внешнего контроля за </w:t>
      </w:r>
      <w:r>
        <w:rPr>
          <w:sz w:val="26"/>
          <w:szCs w:val="26"/>
        </w:rPr>
        <w:lastRenderedPageBreak/>
        <w:t xml:space="preserve">деятельностью банка со стороны инвесторов, вкладчиков и прочих внешних заинтересованных лиц. </w:t>
      </w:r>
    </w:p>
    <w:p w:rsidR="00850244" w:rsidRDefault="00850244" w:rsidP="00850244">
      <w:pPr>
        <w:pStyle w:val="Style8"/>
        <w:suppressAutoHyphens w:val="0"/>
        <w:ind w:firstLine="709"/>
        <w:rPr>
          <w:sz w:val="26"/>
          <w:szCs w:val="26"/>
        </w:rPr>
      </w:pPr>
    </w:p>
    <w:p w:rsidR="00850244" w:rsidRDefault="00850244" w:rsidP="00850244">
      <w:pPr>
        <w:pStyle w:val="Style8"/>
        <w:suppressAutoHyphens w:val="0"/>
        <w:ind w:firstLine="709"/>
        <w:rPr>
          <w:rStyle w:val="FontStyle72"/>
        </w:rPr>
      </w:pPr>
      <w:r>
        <w:rPr>
          <w:rStyle w:val="FontStyle72"/>
        </w:rPr>
        <w:t xml:space="preserve">Тема </w:t>
      </w:r>
      <w:r>
        <w:rPr>
          <w:rStyle w:val="FontStyle58"/>
        </w:rPr>
        <w:t xml:space="preserve">3. </w:t>
      </w:r>
      <w:r>
        <w:rPr>
          <w:rStyle w:val="FontStyle72"/>
        </w:rPr>
        <w:t>Кодексы корпоративного управления: международная практика и российский опыт</w:t>
      </w:r>
    </w:p>
    <w:p w:rsidR="00850244" w:rsidRDefault="00850244" w:rsidP="00850244">
      <w:pPr>
        <w:pStyle w:val="Style8"/>
        <w:suppressAutoHyphens w:val="0"/>
        <w:ind w:firstLine="709"/>
        <w:rPr>
          <w:rStyle w:val="FontStyle72"/>
        </w:rPr>
      </w:pPr>
    </w:p>
    <w:p w:rsidR="00850244" w:rsidRDefault="00850244" w:rsidP="00850244">
      <w:pPr>
        <w:pStyle w:val="Style6"/>
        <w:suppressAutoHyphens w:val="0"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Предпосылки и история создания кодексов корпоративного управления. Проблема защиты прав и интересов акционеров и инвесторов.</w:t>
      </w:r>
    </w:p>
    <w:p w:rsidR="00850244" w:rsidRDefault="00850244" w:rsidP="00850244">
      <w:pPr>
        <w:pStyle w:val="Style6"/>
        <w:suppressAutoHyphens w:val="0"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Критерии классификации кодексов корпоративного управления: тип органа, инициирующего разработку и принятие кодекса, степень обязательности соблюдения принципов кодекса. Содержание принципа «соблюдай или разъясняй».</w:t>
      </w:r>
    </w:p>
    <w:p w:rsidR="00850244" w:rsidRDefault="00850244" w:rsidP="00850244">
      <w:pPr>
        <w:pStyle w:val="Style6"/>
        <w:suppressAutoHyphens w:val="0"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Сочетание между формальным (жестким) правом, законодательством в области корпоративного управления и кодексами корпоративного управления, носящими обычно рекомендательный характер (т.н. «мягкое право»). Европейский опыт мониторинга применения кодексов корпоративного управления. Проблема всеобщей унификации (гармонизации) правил корпоративного управления в банках.</w:t>
      </w:r>
    </w:p>
    <w:p w:rsidR="00850244" w:rsidRDefault="00850244" w:rsidP="00850244">
      <w:pPr>
        <w:pStyle w:val="Style6"/>
        <w:widowControl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Роль различных участников в процессе разработки и внедрения положения кодекса корпоративного управления (орган надзора, фондовые биржи, СМИ, инвесторы, профессиональные ассоциации).</w:t>
      </w:r>
    </w:p>
    <w:p w:rsidR="00850244" w:rsidRDefault="00850244" w:rsidP="00850244">
      <w:pPr>
        <w:pStyle w:val="Style6"/>
        <w:widowControl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Российский опыт разработки и внедрения национального Кодекса корпоративного управления. Реализация принципа «соблюдай или разъясняй» в российской практике: требования Банка России, сравнение с зарубежным опытом, оценка эффективности.</w:t>
      </w:r>
    </w:p>
    <w:p w:rsidR="00850244" w:rsidRDefault="00850244" w:rsidP="00850244">
      <w:pPr>
        <w:pStyle w:val="Style6"/>
        <w:widowControl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>Основные принципы российского Кодекса корпоративного управления. Права акционеров и равенство условий для акционеров при осуществлении ими своих прав. Работа совета директоров общества. Корпоративный секретарь общества. Система вознаграждения членов совета директоров, исполнительных органов и иных ключевых руководящих работников общества. Система управления рисками и внутреннего контроля. Раскрытие информации об обществе, информационная политика общества. Существенные корпоративные действия.</w:t>
      </w:r>
    </w:p>
    <w:p w:rsidR="00850244" w:rsidRDefault="00850244" w:rsidP="00850244">
      <w:pPr>
        <w:pStyle w:val="Style6"/>
        <w:widowControl/>
        <w:spacing w:line="24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Наиболее частые случаи нарушения прав акционеров в России. </w:t>
      </w:r>
    </w:p>
    <w:p w:rsidR="00850244" w:rsidRDefault="00850244" w:rsidP="00850244">
      <w:pPr>
        <w:pStyle w:val="Style8"/>
        <w:widowControl/>
        <w:ind w:firstLine="709"/>
      </w:pPr>
    </w:p>
    <w:p w:rsidR="00850244" w:rsidRDefault="00850244" w:rsidP="00850244">
      <w:pPr>
        <w:pStyle w:val="Style8"/>
        <w:widowControl/>
        <w:ind w:firstLine="709"/>
        <w:rPr>
          <w:rStyle w:val="FontStyle72"/>
        </w:rPr>
      </w:pPr>
      <w:r>
        <w:rPr>
          <w:rStyle w:val="FontStyle72"/>
        </w:rPr>
        <w:t xml:space="preserve">Тема </w:t>
      </w:r>
      <w:r>
        <w:rPr>
          <w:rStyle w:val="FontStyle58"/>
        </w:rPr>
        <w:t xml:space="preserve">4. </w:t>
      </w:r>
      <w:r>
        <w:rPr>
          <w:rStyle w:val="FontStyle72"/>
        </w:rPr>
        <w:t xml:space="preserve">Оценка качества корпоративного управления </w:t>
      </w:r>
    </w:p>
    <w:p w:rsidR="00850244" w:rsidRDefault="00850244" w:rsidP="00850244">
      <w:pPr>
        <w:pStyle w:val="Style8"/>
        <w:widowControl/>
        <w:ind w:firstLine="709"/>
        <w:rPr>
          <w:rStyle w:val="FontStyle72"/>
        </w:rPr>
      </w:pP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Организации, осуществляющие оценку качества корпоративного управления. Применимые методы для оценки практики корпоративного управления: количественные и/или качественные.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Основные критерии и показатели оценки качества корпоративного управления. Влияние акционеров. Соблюдение прав акционеров. Прозрачность, аудит и система управления рисками. Эффективность совета директоров, система вознаграждения. Уровень корпоративной социальной ответственности.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Рейтинги корпоративного управления. Подходы агентства «</w:t>
      </w:r>
      <w:r>
        <w:rPr>
          <w:rStyle w:val="FontStyle73"/>
          <w:lang w:val="en-US"/>
        </w:rPr>
        <w:t>Standard</w:t>
      </w:r>
      <w:r>
        <w:rPr>
          <w:rStyle w:val="FontStyle73"/>
        </w:rPr>
        <w:t>&amp;</w:t>
      </w:r>
      <w:r>
        <w:rPr>
          <w:rStyle w:val="FontStyle73"/>
          <w:lang w:val="en-US"/>
        </w:rPr>
        <w:t>Poor</w:t>
      </w:r>
      <w:r>
        <w:rPr>
          <w:rStyle w:val="FontStyle73"/>
        </w:rPr>
        <w:t>’</w:t>
      </w:r>
      <w:r>
        <w:rPr>
          <w:rStyle w:val="FontStyle73"/>
          <w:lang w:val="en-US"/>
        </w:rPr>
        <w:t>s</w:t>
      </w:r>
      <w:r>
        <w:rPr>
          <w:rStyle w:val="FontStyle73"/>
        </w:rPr>
        <w:t>», агентства «Эксперт РА». Рейтинг корпоративного управления от Российского института директоров (РИД) – Национальный рейтинг корпоративного управления (НРКУ). Сходства и отличия. Участие банков в подобных рейтингах. Оценка практики корпоративного управления в российских кредитных организациях, имеющих соответствующие рейтинги.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lastRenderedPageBreak/>
        <w:t xml:space="preserve">Подходы Банка России к оценке состояния корпоративного управления в кредитных организациях. Письмо № 11-Т от 07.02.2007 «О перечне вопросов для проведения кредитными организациями оценки состояния корпоративного управления». Оценка качества управления банком (глава 4) и оценка прозрачности структуры собственности банка (глава 5) в соответствии с Указанием № 4336-У от 03.04.2017 «Об оценке экономического положения банков».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Оценка российской практики корпоративного управления в российских банках по результатам исследований, проводимых Банком России, в т.ч. по итогам обобщения опросных листов, заполненных крупнейшими банками.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Оценка прозрачности российских компаний. Ежегодное исследование российской региональной сети Международного совета по интегрированной отчетности.</w:t>
      </w:r>
    </w:p>
    <w:p w:rsidR="00850244" w:rsidRDefault="00850244" w:rsidP="00850244">
      <w:pPr>
        <w:pStyle w:val="Style42"/>
        <w:widowControl/>
        <w:spacing w:line="240" w:lineRule="auto"/>
        <w:ind w:firstLine="0"/>
        <w:rPr>
          <w:rStyle w:val="FontStyle73"/>
        </w:rPr>
      </w:pPr>
    </w:p>
    <w:p w:rsidR="00850244" w:rsidRDefault="00850244" w:rsidP="00850244">
      <w:pPr>
        <w:pStyle w:val="Style1"/>
        <w:widowControl/>
        <w:spacing w:line="240" w:lineRule="auto"/>
        <w:ind w:firstLine="709"/>
        <w:jc w:val="both"/>
        <w:rPr>
          <w:rStyle w:val="FontStyle72"/>
        </w:rPr>
      </w:pPr>
      <w:r>
        <w:rPr>
          <w:rStyle w:val="FontStyle72"/>
        </w:rPr>
        <w:t xml:space="preserve">Тема </w:t>
      </w:r>
      <w:r>
        <w:rPr>
          <w:rStyle w:val="FontStyle58"/>
        </w:rPr>
        <w:t xml:space="preserve">5. </w:t>
      </w:r>
      <w:r>
        <w:rPr>
          <w:rStyle w:val="FontStyle72"/>
        </w:rPr>
        <w:t>Корпоративная социальная ответственность в банковской сфере</w:t>
      </w:r>
    </w:p>
    <w:p w:rsidR="00850244" w:rsidRDefault="00850244" w:rsidP="00850244">
      <w:pPr>
        <w:pStyle w:val="Style1"/>
        <w:widowControl/>
        <w:spacing w:line="240" w:lineRule="auto"/>
        <w:ind w:firstLine="709"/>
        <w:jc w:val="both"/>
        <w:rPr>
          <w:rStyle w:val="FontStyle72"/>
        </w:rPr>
      </w:pP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Понятие и основные концепции корпоративной социальной ответственности (КСО).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Классический подход (М. Фридман): единственная ответственность бизнеса — увеличение прибыли для своих акционеров.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Теория корпоративного альтруизма (американский Комитет по экономическому развитию): бизнес должен заботиться не только о росте прибыли, но и делать максимально доступным вклад в решение общественных проблем, повышение качества жизни граждан и сообщества, а также в сохранение окружающей среды.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Теория «разумного эгоизма»: затраты на социальные и благотворительные программы сокращают текущую прибыль, но в долгосрочной перспективе создают благоприятное социальное окружение и, следовательно, устойчивые прибыли.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Модель пирамиды КСО А. </w:t>
      </w:r>
      <w:proofErr w:type="spellStart"/>
      <w:r>
        <w:rPr>
          <w:rStyle w:val="FontStyle73"/>
        </w:rPr>
        <w:t>Керолла</w:t>
      </w:r>
      <w:proofErr w:type="spellEnd"/>
      <w:r>
        <w:rPr>
          <w:rStyle w:val="FontStyle73"/>
        </w:rPr>
        <w:t>, основанная на соподчинении экономического, правового, этического и филантропического «уровней» социальной ответственности.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Проблема добровольности вклада бизнеса в увеличение общественного благосостояния для определения корпоративной социальной ответственности.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Структурирование концепции КСО. Три основных компонента направления ее развития: социальные обязательства, социальное реагирование и собственно социальная ответственность.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Преимущества развитой практики КСО для бизнеса. Репутационный эффект. Выстраивание отношений с заинтересованными сторонами. Внедрение инноваций. Повышение лояльности персонала.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Направления и инструменты КСО: 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>в отношении персонала,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 xml:space="preserve">охрана окружающей среды, 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 xml:space="preserve">добросовестные деловые практик, 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 xml:space="preserve">отношения с клиентами, 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 xml:space="preserve">развитие местных сообществ, </w:t>
      </w:r>
    </w:p>
    <w:p w:rsidR="00850244" w:rsidRDefault="00850244" w:rsidP="00850244">
      <w:pPr>
        <w:pStyle w:val="Style42"/>
        <w:widowControl/>
        <w:numPr>
          <w:ilvl w:val="0"/>
          <w:numId w:val="2"/>
        </w:numPr>
        <w:spacing w:line="240" w:lineRule="auto"/>
        <w:ind w:left="851"/>
        <w:rPr>
          <w:rStyle w:val="FontStyle73"/>
        </w:rPr>
      </w:pPr>
      <w:r>
        <w:rPr>
          <w:rStyle w:val="FontStyle73"/>
        </w:rPr>
        <w:t>благотворительность и волонтерство.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Особенности реализации инструментов КСО в банковской сфере. Подходы к оценке уровня КСО в деятельности банков (репутационные индексы, одно- и многофакторные модели, контент-анализ корпоративных отчетов банков, рейтинги </w:t>
      </w:r>
      <w:r>
        <w:rPr>
          <w:rStyle w:val="FontStyle73"/>
        </w:rPr>
        <w:lastRenderedPageBreak/>
        <w:t xml:space="preserve">КСО как отражение мнения менеджеров о степени социальной ответственности). Индексы устойчивого развития </w:t>
      </w:r>
      <w:r>
        <w:rPr>
          <w:rStyle w:val="FontStyle73"/>
          <w:lang w:val="en-US"/>
        </w:rPr>
        <w:t>Dow</w:t>
      </w:r>
      <w:r w:rsidRPr="00850244">
        <w:rPr>
          <w:rStyle w:val="FontStyle73"/>
        </w:rPr>
        <w:t xml:space="preserve"> </w:t>
      </w:r>
      <w:r>
        <w:rPr>
          <w:rStyle w:val="FontStyle73"/>
          <w:lang w:val="en-US"/>
        </w:rPr>
        <w:t>Jones</w:t>
      </w:r>
      <w:r w:rsidRPr="00850244">
        <w:rPr>
          <w:rStyle w:val="FontStyle73"/>
        </w:rPr>
        <w:t xml:space="preserve"> </w:t>
      </w:r>
      <w:r>
        <w:rPr>
          <w:rStyle w:val="FontStyle73"/>
          <w:lang w:val="en-US"/>
        </w:rPr>
        <w:t>Sustainability</w:t>
      </w:r>
      <w:r w:rsidRPr="00850244">
        <w:rPr>
          <w:rStyle w:val="FontStyle73"/>
        </w:rPr>
        <w:t xml:space="preserve"> </w:t>
      </w:r>
      <w:r>
        <w:rPr>
          <w:rStyle w:val="FontStyle73"/>
          <w:lang w:val="en-US"/>
        </w:rPr>
        <w:t>Index</w:t>
      </w:r>
      <w:r>
        <w:rPr>
          <w:rStyle w:val="FontStyle73"/>
        </w:rPr>
        <w:t>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Оценка социально ответственного поведения российских банков. Рейтинг банков по степени развития практики КСО: зарубежный опыт и российская практика.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Стандарты и руководства в области корпоративной социальной ответственности (</w:t>
      </w:r>
      <w:r>
        <w:rPr>
          <w:rStyle w:val="FontStyle73"/>
          <w:lang w:val="en-US"/>
        </w:rPr>
        <w:t>ISO</w:t>
      </w:r>
      <w:r>
        <w:rPr>
          <w:rStyle w:val="FontStyle73"/>
        </w:rPr>
        <w:t xml:space="preserve">:26000 и др.).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Назначение нефинансовой отчетности. Участие российских банков в практике подготовки нефинансовой отчетности. Национальный регистр нефинансовых отчетов (РСПП).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Проблемы распространения лучших практик КСО в российском банковском секторе. Направления их совершенствования.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  <w:b/>
        </w:rPr>
      </w:pPr>
      <w:r>
        <w:rPr>
          <w:rStyle w:val="FontStyle73"/>
          <w:b/>
        </w:rPr>
        <w:t>Тема 6. Управление персоналом коммерческого банка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  <w:b/>
        </w:rPr>
      </w:pP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Особенности и структура банковского персонала. Специфика банковской деятельности и требования к банковскому персоналу. Его значение для эффективной работы банка.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Классификация банковского персонала.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Планирование потребности в персонале. Задачи планирования, оценка текущей структуры. Показатели оценки эффективности: чистая прибыль на 1 сотрудника, прибыль бизнес-подразделения на 1 рубль экономического капитала (методика </w:t>
      </w:r>
      <w:r>
        <w:rPr>
          <w:rStyle w:val="FontStyle73"/>
          <w:lang w:val="en-US"/>
        </w:rPr>
        <w:t>RAROC</w:t>
      </w:r>
      <w:r>
        <w:rPr>
          <w:rStyle w:val="FontStyle73"/>
        </w:rPr>
        <w:t>), показатель операционной эффективности (</w:t>
      </w:r>
      <w:r>
        <w:rPr>
          <w:rStyle w:val="FontStyle73"/>
          <w:lang w:val="en-US"/>
        </w:rPr>
        <w:t>cost</w:t>
      </w:r>
      <w:r>
        <w:rPr>
          <w:rStyle w:val="FontStyle73"/>
        </w:rPr>
        <w:t>-</w:t>
      </w:r>
      <w:r>
        <w:rPr>
          <w:rStyle w:val="FontStyle73"/>
          <w:lang w:val="en-US"/>
        </w:rPr>
        <w:t>to</w:t>
      </w:r>
      <w:r>
        <w:rPr>
          <w:rStyle w:val="FontStyle73"/>
        </w:rPr>
        <w:t>-</w:t>
      </w:r>
      <w:r>
        <w:rPr>
          <w:rStyle w:val="FontStyle73"/>
          <w:lang w:val="en-US"/>
        </w:rPr>
        <w:t>income</w:t>
      </w:r>
      <w:r w:rsidRPr="00850244">
        <w:rPr>
          <w:rStyle w:val="FontStyle73"/>
        </w:rPr>
        <w:t xml:space="preserve"> </w:t>
      </w:r>
      <w:r>
        <w:rPr>
          <w:rStyle w:val="FontStyle73"/>
          <w:lang w:val="en-US"/>
        </w:rPr>
        <w:t>ratio</w:t>
      </w:r>
      <w:r>
        <w:rPr>
          <w:rStyle w:val="FontStyle73"/>
        </w:rPr>
        <w:t xml:space="preserve">).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Организация планирования: централизованный принцип и дивизионный принцип. Административное и функциональное подчинение работников сетевых подразделений банка.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Подбор и наем персонала. Оценка банковского персонала (критерии и методы оценки, периодичность и виды оценок).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Проблема мотивации труда работников банка и стимулирования их к проведению осмотрительной политики. Основные и дополнительные формы оплаты труда в банках. Опционные и социальные программы. Моральное поощрение.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Принципы разумной практики вознаграждения (Совет по финансовой стабильности, 2009, 2018). Эффективное управление вознаграждением с учетом принимаемых рисков. Эффективный надзор и обязательства перед заинтересованными лицами.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Актуальный отчет Совета по финансовой стабильности о состоянии внедрения на практике Принципов разумной практики вознаграждения.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Роль органов надзора в реализации Принципов разумной практики вознаграждения.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>Инструкция Банка России № 154-И от 07.06.2014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труда». Обеспечение соответствия системы оплаты труда кредитной организации характеру и масштабу совершаемых ею операций, результатам ее деятельности, уровню и сочетанию принимаемых рисков.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t xml:space="preserve">Развитие персонала. Задачи и основные инструменты. Адаптация новых сотрудников. Институт наставничества. Формы обучения и повышения квалификации. </w:t>
      </w:r>
    </w:p>
    <w:p w:rsidR="00850244" w:rsidRDefault="00850244" w:rsidP="00850244">
      <w:pPr>
        <w:pStyle w:val="Style42"/>
        <w:widowControl/>
        <w:spacing w:line="240" w:lineRule="auto"/>
        <w:ind w:firstLine="709"/>
        <w:rPr>
          <w:rStyle w:val="FontStyle73"/>
        </w:rPr>
      </w:pPr>
      <w:r>
        <w:rPr>
          <w:rStyle w:val="FontStyle73"/>
        </w:rPr>
        <w:lastRenderedPageBreak/>
        <w:t xml:space="preserve">Этика банков и банковская культура. Понятие, назначение и факторы формирования. Элементы банковской культуры. Доклад «Банковское поведение и культура. Призыв к устойчивой и всеобъемлющей реформе» (Группа тридцати, 2015). </w:t>
      </w:r>
    </w:p>
    <w:p w:rsidR="00714370" w:rsidRDefault="00714370" w:rsidP="008502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244" w:rsidRDefault="00850244" w:rsidP="00850244">
      <w:pPr>
        <w:widowControl w:val="0"/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тематический план</w:t>
      </w:r>
    </w:p>
    <w:p w:rsidR="00850244" w:rsidRDefault="00134CAC" w:rsidP="00850244">
      <w:pPr>
        <w:widowControl w:val="0"/>
        <w:tabs>
          <w:tab w:val="righ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03"/>
        <w:gridCol w:w="838"/>
        <w:gridCol w:w="987"/>
        <w:gridCol w:w="919"/>
        <w:gridCol w:w="1537"/>
        <w:gridCol w:w="1164"/>
        <w:gridCol w:w="1671"/>
      </w:tblGrid>
      <w:tr w:rsidR="00850244" w:rsidTr="00850244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53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850244" w:rsidTr="00850244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работа-</w:t>
            </w:r>
          </w:p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0244" w:rsidTr="00850244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Общая, в т.ч.: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  занятия</w:t>
            </w: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дебаты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Кодексы корпоративного управления: международная практика и российский опыт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опрос, дебаты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Оценка качества корпоративного управления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разбор практико-ориентированного задания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дебаты, решение ситуационных задач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Управление персоналом коммерческого банка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ситуационных задач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50244" w:rsidTr="0085024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0244" w:rsidRDefault="00850244" w:rsidP="00850244">
      <w:pPr>
        <w:pStyle w:val="Default"/>
        <w:spacing w:line="360" w:lineRule="auto"/>
        <w:ind w:firstLine="709"/>
        <w:jc w:val="both"/>
      </w:pP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5.3. Содержание семинаров, практических занятий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95"/>
        <w:gridCol w:w="4523"/>
        <w:gridCol w:w="2927"/>
      </w:tblGrid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защиты интересов акционеров и инвесторов как один из основных мотивов формирования правил корпоративного управления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корпоративного управления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каких форм предпринимательской деятельности принципы корпоративного управления не актуальны?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управлением банком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management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корпоративным управлением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corporate</w:t>
            </w:r>
            <w:r w:rsidRPr="00850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governance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корпоративного управления в банке с базовыми концепциями финансового менеджмента (портфельная теория, теория структуры капитала, теория агентских отношений)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обновления принципов корпоративного управления (ОЭСР и БКБН издали в 2015 г. новые версии своих рекомендаций). Какие изменения были внесены?</w:t>
            </w: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7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2, 5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студентов с базовыми предпосылками формирования корпоративного управления и его основных задач.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различных трактовок корпоративного управления, а также принципов корпоративного управления, принятых ОЭСР, истории из изменения.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– сравнить общие (ОЭСР) и частные принципы (БКБН) корпоративного управления, предложенные специально для банков, и выделить отличительные принципы для банковской деятельности.</w:t>
            </w: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особенности риск-ориентированного подхода к организации банковского надзора, его преимущества/ недостатки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Какая структура акционерного капитала (концентрированная, дисперсная) в большей степени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способствует целям устойчивого развития банка в долгосрочной перспективе?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оценки степени участия акционеров в управлении банком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Почему, по мнению многих экспертов, наличие сильного, высокопрофессионального состава управляющих (менеджеров) при слабом, недостаточно инициативном и квалифицированном Совете директоров зачастую приводит к появлению проблем у банка?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оценки эффективности работы совета директоров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Способы, инструменты повышения ответственности менеджмента и членов Совета директоров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ли/ должно ли существовать отличие в уровне ответственности менеджеров банков с государственным участием?</w:t>
            </w: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7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Ознакомление студентов с основными участниками процесса корпоративного управления.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со студентами роли каждого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участников корпоративного управления и способов оценки их влияния.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– проанализировать и оценить деятельность различных участников процесса корпоративного управления на материалах российских банков, сравнить ее с рекомендуемыми БКБН принципами.</w:t>
            </w: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 Кодексы корпоративного управления: международная практика и российский опыт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разработки первых кодексов корпоративного управления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ли универсальная модель корпоративного управления для любого банка?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последние годы в странах ЕС наблюдается тенденция поглощения законодательством положений национальных кодексов корпоративного управления? К каким положительным и негативным последствиям это может привести?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реализации принципа «соблюдай или объясняй» в российском банковском секторе, их соответствие лучшей зарубежной практике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примеры нарушения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акционеров в России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3, 4, 5, 6, 7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Ознакомление студентов с основными предпосылками создания кодексов корпоративного управления.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различных подходов к степени обязательности соблюдения принципов национальных кодексов корпоративного управления.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дискуссии в форме дебатов на тему «Кодексы корпоративного управления: основа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саморегулирования или документ, требующий обязательного исполнения и мониторинга?».</w:t>
            </w: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Оценка качества корпоративного управления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 отличительные признаки различных рейтинговых методик для оценки качества корпоративного управления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Подходы Банка России к оценке качества корпоративного управления как одного из элементов комплексной оценки экономического положения банков, их достоинства и недостатки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Стимулы и инструменты воздействия со стороны регулятора, способные привести к улучшению качества корпоративного управления в российских банках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2, 8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4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студентов с основными видами рейтингов для оценки уровня корпоративного управления.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подходов к оценке качества корпоративного управления (количественные и качественные методы), в т.ч. рейтинговых методик (рейтинги «Эксперт РА», Российского института директоров) и подходов Банка России. Обсуждение их достоинств и недостатков.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дискуссии в форме дебатов на тему «Существует ли положительная связь между качеством корпоративного управления и финансовыми показателями банка?».</w:t>
            </w:r>
          </w:p>
          <w:p w:rsidR="00850244" w:rsidRDefault="00850244">
            <w:pPr>
              <w:keepNext/>
              <w:widowControl w:val="0"/>
              <w:tabs>
                <w:tab w:val="left" w:pos="412"/>
              </w:tabs>
              <w:spacing w:line="240" w:lineRule="auto"/>
              <w:ind w:lef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 применима сегодня модель пирамиды КСО А. Кэрролла? Почему?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 между социальными обязательствами, социальным реагированием и социальной ответственностью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структурированной концепции КСО. Приведите примеры из банковской практики?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и способы социально ответственного поведения банка в разрезе каждого из направлений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ли большой объем расходов на проведение благотворительных мероприятий признаком развитой практики КСО? Почему?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реализации банком сильной практики в области КСО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составления и регулярной публикации нефинансовой отчетности для российских банков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бизнес-модели этических банков. Почему все этические банки являются малыми и средними в своих национальных банковских системах? Способны ли они войти в число крупных банков?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9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3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Ознакомление студентов с основными концепциями КСО, а также направлениями и инструментами КСО (в целом в предпринимательской деятельности 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банковском деле в частности).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 студентами различных практических примеров из российской и зарубежной банковской практики в области КСО, а также возможных методик оценки степени социально ответственного поведения банка. Обсуждение результатов исследований студентов и преподавателей университета по вопросам измерения и анализа динамики уровня КСО крупнейших российских банков.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примера (ситуационная задача) социально ориентированных банков, этических банков, проведение сравнительного анализа практик корпоративного управления, политики КСО и финансовых показателей этических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Triodos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APS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Cultura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Sparebank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пр.) и традиционных банков.</w:t>
            </w:r>
          </w:p>
        </w:tc>
      </w:tr>
      <w:tr w:rsidR="00850244" w:rsidTr="00850244"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6. Управление персоналом коммерческого банка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особенности   банковского персонала. Требования, предъявляемые к работникам кредитных организаций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рекомендации Совета по финансовой стабильности в области политики вознаграждения в банках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российского ККУ в отношении т.н. «золотых парашютов» (выплаты менеджерам при досрочном расторжении трудового договора)? Соответствует ли они рекомендациям БКБН?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банковской культуры: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трактовки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в области развития банковской культуры в докладе «Группы тридцати» «Банковское поведение и культура. Призыв к устойчивой и всеобъемлющей реформе»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банковской культуры в обеспечении финансовой устойчивости кредитной организации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формирования высокой банковской культуры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>
            <w:pPr>
              <w:keepNext/>
              <w:widowControl w:val="0"/>
              <w:spacing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Рекомендуемые источники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ind w:left="51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нормативно-правовые акты: 1, 2, 3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6"/>
              </w:numPr>
              <w:spacing w:line="240" w:lineRule="auto"/>
              <w:ind w:left="51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рекомендуемая литература: 1, 2</w:t>
            </w:r>
          </w:p>
          <w:p w:rsidR="00850244" w:rsidRDefault="0085024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Ознакомление студентов с основными методами управления банковским персоналом.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со студентами различных практических примеров из российской и зарубежной банковской практики в области мотивации менеджеров высшего звена и совета директоров кредитных организаций, достоинств и недостатков опционных программ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премирования акциями банка.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4"/>
              </w:numPr>
              <w:tabs>
                <w:tab w:val="left" w:pos="412"/>
              </w:tabs>
              <w:spacing w:line="240" w:lineRule="auto"/>
              <w:ind w:left="0" w:firstLine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ситуационных задач относительно различных политик формирования вознаграждения в российских и зарубежных банках на основе публичных данных.</w:t>
            </w:r>
          </w:p>
        </w:tc>
      </w:tr>
    </w:tbl>
    <w:p w:rsidR="00850244" w:rsidRDefault="00850244" w:rsidP="00850244">
      <w:pPr>
        <w:pStyle w:val="Default"/>
        <w:spacing w:line="360" w:lineRule="auto"/>
        <w:ind w:firstLine="709"/>
        <w:jc w:val="right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работы обучающихся по дисциплине </w:t>
      </w: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50244" w:rsidRDefault="00134CAC" w:rsidP="00134CA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>Таблица 5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779"/>
        <w:gridCol w:w="4533"/>
        <w:gridCol w:w="3175"/>
      </w:tblGrid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 и принципы корпоративного управления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рекомендаций ОЭСР и БКБН в области корпоративного управления. Причины обновления в 2015 ранее изданных принципов.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описание принципов корпоративного управления, изданных БКБН (2015)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Участники и инфраструктура корпоративного управления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оценки роли каждого из участников корпоративного управления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БКБН в области организации работы внутреннего аудита и внутреннего контроля в банке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корпоративного управления в компаниях (банках) с государственным участием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Кодексы корпоративного управления: международная практика и российский опыт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Зарубежная практика внедрения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мониторинга исполнения национальных кодексов корпоративного управления (в т.ч. по материалам обзоров экспертов ОЭСР)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лучших практик реализации принципа «соблюдай или объясняй»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Работа с литературой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участию в дебатах.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Оценка качества корпоративного управления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Зарубежный опыт оценки качества корпоративного управления.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между уровнем качества корпоративного управления в банке и его финансовым состоянием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участию в дебатах.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домашнего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Корпоративная социальная ответственность в банковской сфере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принципы деятельности этических банков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финансового состояния традиционных и этических банков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измерения уровня КСО в банковском секторе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Решение ситуационных задач</w:t>
            </w:r>
          </w:p>
        </w:tc>
      </w:tr>
      <w:tr w:rsidR="00850244" w:rsidTr="00850244"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Управление персоналом коммерческого банка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политик вознаграждения российских и зарубежных банков.</w:t>
            </w:r>
          </w:p>
          <w:p w:rsidR="00850244" w:rsidRDefault="00850244">
            <w:pPr>
              <w:keepNext/>
              <w:widowControl w:val="0"/>
              <w:numPr>
                <w:ilvl w:val="0"/>
                <w:numId w:val="8"/>
              </w:numPr>
              <w:tabs>
                <w:tab w:val="left" w:pos="458"/>
              </w:tabs>
              <w:spacing w:after="0" w:line="240" w:lineRule="auto"/>
              <w:ind w:left="32" w:firstLine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понимание банковской культуры и способов ее формирования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с литературой и другими источниками.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семинарскому занятию.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к дискуссии.</w:t>
            </w:r>
          </w:p>
          <w:p w:rsidR="00850244" w:rsidRDefault="00850244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Решение ситуационных задач</w:t>
            </w:r>
          </w:p>
        </w:tc>
      </w:tr>
    </w:tbl>
    <w:p w:rsidR="00850244" w:rsidRDefault="00850244" w:rsidP="00850244">
      <w:pPr>
        <w:pStyle w:val="Default"/>
        <w:spacing w:line="360" w:lineRule="auto"/>
        <w:ind w:firstLine="709"/>
        <w:jc w:val="both"/>
      </w:pP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850244" w:rsidRDefault="00850244" w:rsidP="00850244">
      <w:pPr>
        <w:pStyle w:val="ac"/>
        <w:spacing w:line="360" w:lineRule="auto"/>
        <w:jc w:val="both"/>
        <w:rPr>
          <w:szCs w:val="28"/>
        </w:rPr>
      </w:pPr>
      <w:r>
        <w:rPr>
          <w:szCs w:val="28"/>
        </w:rPr>
        <w:t>Перечень вопросов к контрольной работе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>Необходимость эффективного корпоративного управления и его предпосылки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корпоративного управления, разработанные ОЭСР 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Проявление банковской специфики в принципах корпоративного управления, предложенных БКБН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Основные предпосылки разработки Кодекса корпоративного управления в России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Права акционеров и способы обеспечения р</w:t>
      </w:r>
      <w:r>
        <w:rPr>
          <w:b w:val="0"/>
          <w:bCs/>
          <w:szCs w:val="28"/>
        </w:rPr>
        <w:t xml:space="preserve">авенства </w:t>
      </w:r>
      <w:r>
        <w:rPr>
          <w:b w:val="0"/>
          <w:bCs/>
          <w:szCs w:val="28"/>
        </w:rPr>
        <w:br/>
        <w:t>для акционеров при осуществлении ими своих прав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lastRenderedPageBreak/>
        <w:t>Основные обязанности Совета директоров в системе корпоративного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Основные требования к составу и членам Совета директоров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Виды комитетов, создаваемых Советом директоров в системе корпоративного управления, и их задачи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построения системы вознаграждения </w:t>
      </w:r>
      <w:r>
        <w:rPr>
          <w:b w:val="0"/>
          <w:bCs/>
          <w:szCs w:val="28"/>
        </w:rPr>
        <w:t>членов Совета директоров, исполнительных органов и иных ключевых руководящих работников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>Способы обеспечения долгосрочной мотивации членов Совета директоров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задачи системы </w:t>
      </w:r>
      <w:r>
        <w:rPr>
          <w:b w:val="0"/>
          <w:bCs/>
          <w:iCs/>
          <w:szCs w:val="28"/>
        </w:rPr>
        <w:t>управления рисками и внутреннего контроля, методы построения ее на различных уровнях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 xml:space="preserve"> Принципы организации проведения внутреннего аудита для оценки надежности и эффективности системы управления рисками и внутреннего контроля и практики корпоративного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Направления оценки эффективности системы внутреннего контроля и системы управления рисками, оценки корпоративного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Требования к информационной политике общества и составе информации для раскрытия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Содержание дополнительной информации, рекомендуемой для раскрытия в годовом отчете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Понятие и состав существенных корпоративных действий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Цели и задачи органов надзора в системе корпоративного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36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Конфликт интересов и способы его предотвращения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Способы оценки эффективности работы совета директоров банка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t>Критерии независимости члена Совета директоров (согласно российскому Кодексу корпоративного управления). Соблюдение данного принципа в российских банках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t>Методические подходы к проведению кредитными организациями оценки состояния корпоративного управления</w:t>
      </w:r>
    </w:p>
    <w:p w:rsidR="00850244" w:rsidRDefault="00850244" w:rsidP="00850244">
      <w:pPr>
        <w:pStyle w:val="ac"/>
        <w:numPr>
          <w:ilvl w:val="0"/>
          <w:numId w:val="10"/>
        </w:numPr>
        <w:spacing w:line="360" w:lineRule="auto"/>
        <w:ind w:hanging="218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Способы мониторинга состояния корпоративного управления Банком России</w:t>
      </w:r>
    </w:p>
    <w:p w:rsidR="00850244" w:rsidRDefault="00850244" w:rsidP="00850244">
      <w:pPr>
        <w:pStyle w:val="ac"/>
        <w:spacing w:line="360" w:lineRule="auto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850244" w:rsidRDefault="00850244" w:rsidP="00850244">
      <w:pPr>
        <w:pStyle w:val="ac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850244" w:rsidRDefault="00850244" w:rsidP="00850244">
      <w:pPr>
        <w:pStyle w:val="ac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850244" w:rsidRDefault="00850244" w:rsidP="00850244">
      <w:pPr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Примеры тем для проведения дебатов: </w:t>
      </w:r>
    </w:p>
    <w:p w:rsidR="00850244" w:rsidRDefault="00850244" w:rsidP="00850244">
      <w:pPr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1. Кодексы корпоративного управления: основа для саморегулирования или документ, требующий обязательного исполнения и мониторинга? </w:t>
      </w:r>
    </w:p>
    <w:p w:rsidR="00850244" w:rsidRDefault="00850244" w:rsidP="00850244">
      <w:pPr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2. Существует ли положительная связь между качеством корпоративного управления и финансовыми показателями банка? </w:t>
      </w:r>
    </w:p>
    <w:p w:rsidR="00850244" w:rsidRDefault="00850244" w:rsidP="00850244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Концепция корпоративной социальной ответственности в банковском деле: новая философия банковской деятельности или инструмент связей с общественностью и улучшения имиджа кредитного института?</w:t>
      </w:r>
    </w:p>
    <w:p w:rsidR="00850244" w:rsidRDefault="00850244" w:rsidP="00850244">
      <w:pPr>
        <w:pStyle w:val="af7"/>
        <w:ind w:left="0" w:firstLine="709"/>
        <w:rPr>
          <w:rFonts w:ascii="TimesNewRoman" w:hAnsi="TimesNewRoman" w:cs="TimesNewRoman"/>
          <w:sz w:val="28"/>
          <w:szCs w:val="28"/>
        </w:rPr>
      </w:pP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балльной оценки различных форм текущего контроля успеваемости </w:t>
      </w: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850244" w:rsidRDefault="00850244" w:rsidP="00850244">
      <w:pPr>
        <w:pStyle w:val="Default"/>
        <w:rPr>
          <w:b/>
          <w:bCs/>
          <w:sz w:val="28"/>
          <w:szCs w:val="28"/>
        </w:rPr>
      </w:pPr>
    </w:p>
    <w:p w:rsidR="00850244" w:rsidRDefault="00850244" w:rsidP="0085024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 Фонд оценочных средств для проведения промежуточной аттестации обучающихся по дисциплине </w:t>
      </w:r>
    </w:p>
    <w:p w:rsidR="00850244" w:rsidRDefault="00850244" w:rsidP="00850244">
      <w:pPr>
        <w:pStyle w:val="Default"/>
        <w:rPr>
          <w:sz w:val="28"/>
          <w:szCs w:val="28"/>
        </w:rPr>
      </w:pPr>
    </w:p>
    <w:p w:rsidR="00850244" w:rsidRDefault="00850244" w:rsidP="0085024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</w:t>
      </w:r>
      <w:r>
        <w:rPr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14370" w:rsidRPr="00714370" w:rsidRDefault="00714370" w:rsidP="0071437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370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" w:name="_Hlk25255353"/>
      <w:bookmarkEnd w:id="1"/>
    </w:p>
    <w:p w:rsidR="00850244" w:rsidRDefault="00EF49E7" w:rsidP="0085024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</w:t>
      </w:r>
      <w:r w:rsidR="00714370">
        <w:rPr>
          <w:color w:val="auto"/>
          <w:sz w:val="28"/>
          <w:szCs w:val="28"/>
        </w:rPr>
        <w:t xml:space="preserve">         </w:t>
      </w:r>
      <w:r>
        <w:rPr>
          <w:color w:val="auto"/>
          <w:sz w:val="28"/>
          <w:szCs w:val="28"/>
        </w:rPr>
        <w:t xml:space="preserve">  </w:t>
      </w:r>
      <w:r>
        <w:rPr>
          <w:sz w:val="28"/>
          <w:szCs w:val="28"/>
        </w:rPr>
        <w:t>Таблица 6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69"/>
        <w:gridCol w:w="2068"/>
        <w:gridCol w:w="2214"/>
        <w:gridCol w:w="2994"/>
      </w:tblGrid>
      <w:tr w:rsidR="00850244" w:rsidTr="00850244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EF49E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индикаторов</w:t>
            </w:r>
            <w:r w:rsidR="008502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  <w:r w:rsidR="00EF49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(умения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знания), соотнесенные с индикаторами достижения компетенции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50244" w:rsidTr="00850244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ПКН-4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теоретические основы системы корпоративного управления в банке, принципы его построения;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слабые места в практике корпоративного управления банка, обосновывать предложения по ее совершенствованию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1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Коммерческий банк Y объявил о своем предстоящем участии в листинге на фондовой бирже и последующем выпуске в обращение своих ценных бумаг. В числе представленных материалов была информация о составе совета директоров: из семи избранных директоров три являются независимыми, два представляют интересы крупного мажоритарного акционера и два — консолидированные интересы миноритарных акционеров.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 определить соответствие статуса и состава совета директоров банка требованиям биржи по включению в ее котировальный список.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 2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Возможно ли в условиях необходимости соблюдения конфиденциальности информации при осуществлении информационных потоков, обеспечивающих внутренние потребности кредитной организации, достичь необходимый для внешних контрагентов уровень прозрачности банка? Поясните свой ответ.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3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привлечения внимания обществ к вопросам раскрытия информации в области устойчивого развития и определения единообразных подходов к раскрытию такой информации,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июле 2021 года Банк России опубликовал рекомендации по раскрытию ПАО нефинансовой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информации, связанной с деятельностью таких обществ (далее – Рекомендации по раскрытию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 в области устойчивого развития).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практики раскрытия такой информации в 2021-2022 гг.</w:t>
            </w:r>
          </w:p>
        </w:tc>
      </w:tr>
      <w:tr w:rsidR="00850244" w:rsidTr="00850244">
        <w:trPr>
          <w:trHeight w:val="628"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7143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и особенности стратегического управления, подходы к оценке качества стратегий банков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данные о стратегии банка и вносить обоснованные предложения по ее совершенствованию</w:t>
            </w:r>
          </w:p>
          <w:p w:rsidR="00850244" w:rsidRDefault="00850244" w:rsidP="00714370">
            <w:pPr>
              <w:pStyle w:val="Default"/>
              <w:widowControl w:val="0"/>
              <w:rPr>
                <w:sz w:val="25"/>
                <w:szCs w:val="25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из наиболее приемлемых условий формирования эффективной системы корпоративного управления должны использоваться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современном конкурентоспособном банке и что должно быть отражено в его стратегии?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Банк в эпоху непредсказуемости развития экономики должен быть изначально лидером в отрасли.</w:t>
            </w:r>
          </w:p>
          <w:p w:rsidR="00714370" w:rsidRDefault="00850244" w:rsidP="007143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 реализации корпоративной стратегии возможна многовариантность решений, обусловленных влиянием внешней среды и внутренней методологией деятельности банка, не связанных с достижением высокого уровня доходов.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Развитие корпоративной политики банка должно опираться исключительно на зарубежный опыт развития банковского бизнеса, не учитывая особенности реализации стратегий, разработанных отечественными аналитиками.</w:t>
            </w:r>
          </w:p>
          <w:p w:rsidR="00850244" w:rsidRDefault="00850244" w:rsidP="00714370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Развитие корпоративного управления в стратегиях банка опирается на ценности корпоративной культуры, зафиксированные в кодексе корпоративного поведения и иных стандартах деловой этики, а также системы, обеспечивающей приверженность этим ценностям на практике.</w:t>
            </w:r>
          </w:p>
          <w:p w:rsidR="00850244" w:rsidRDefault="00850244" w:rsidP="00714370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 стратегии развития коммерческого банка не следует придерживаться определенной иерархии прав при принятии решений и распределении обязанностей, а опираться исключительно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механизм взаимодействия и сотрудничества между высшим менеджментом банка и подразделениями.</w:t>
            </w:r>
          </w:p>
          <w:p w:rsidR="00850244" w:rsidRDefault="00850244" w:rsidP="00714370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 свой выбор.</w:t>
            </w:r>
          </w:p>
        </w:tc>
      </w:tr>
      <w:tr w:rsidR="00850244" w:rsidTr="00850244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УК-5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Организовывает работу в команде, ставит цели командной работы.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теоретические основы организации работы членов совета директоров коммерческого банка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распределять полномочия внутри команды на основе декомпозиции цели и распределения отдельных задач между членами команды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1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Одной из сложных задач в период экономической нестабильности является поиск и обеспечение баланса раскрытия обществом информации и ограничения доступа к «чувствительной» информации на основе риск-ориентированного подхода при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определении объема раскрываемой информации, экспертной коллегиальной оценки, позволяющей учитывать максимально широкий набор факторов и (или) обстоятельств, влияющих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деятельность компании. принятие системных и последовательных решений и их своевременный пересмотр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учетом быстроменяющейся внешней среды. В целях наиболее глубокой проработки вопросов информационной политики в компании может быть сформирована экспертная группа,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участию в которой могут быть привлечены работники бизнес-подразделений, комплаенс контроля, подразделений по взаимодействию с акционерами и инвесторами, подразделения,</w:t>
            </w:r>
          </w:p>
          <w:p w:rsidR="00714370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ответственного за организацию и осуществление управления рисками,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также подразделения, ответственного за организацию и осуществление внутреннего аудита.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функции каждого члена экспертной команды в разработке стратегии информационной политики.</w:t>
            </w:r>
          </w:p>
        </w:tc>
      </w:tr>
      <w:tr w:rsidR="00850244" w:rsidTr="00850244"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7143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положения российского Кодекса корпоративного управления и формы отчетности о его соблюдении,</w:t>
            </w: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 w:rsidP="0071437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 сведения о состоянии корпоративного управления коммерческого банка, полученную от других членов команды, в целях оценки степени соблюдения банком Кодекса корпоративного управления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Одним из принципов корпоративного управления является стратегический поход к формированию коммуникационной и информационной политике. Банк России в своем Обзоре практики корпоративного управления за 2021 г. рекомендовал совету директоров (или комитету (комитетам) совета директоров, к компетенции которого (которых)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отнесены вопросы информационной политики, на регулярной основе обсуждать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исполнительными органами практики раскрытия и ограничения раскрытия информации, в том числе ее своевременность, актуальность, и обоснованность принятых решений об ограничении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раскрытия и (или) предоставления информации, поступающие обращения заинтересованных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 относительно раскрытия и (или) предоставления информации, информационную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асимметрию, реализовавшиеся риски в связи с раскрытием, полным или частичным ограничением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раскрытия и (или) предоставления информации, оценку достаточности объема раскрываемой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обществом информации для принятия акционерами и инвесторами инвестиционных решений.</w:t>
            </w:r>
          </w:p>
          <w:p w:rsidR="00850244" w:rsidRDefault="00850244" w:rsidP="007143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Обоснуйте состав и способы донесения необходимой информации до различных групп заинтересованных лиц, инвесторов и акционеров.</w:t>
            </w:r>
          </w:p>
        </w:tc>
      </w:tr>
      <w:tr w:rsidR="00850244" w:rsidTr="00850244">
        <w:trPr>
          <w:trHeight w:val="562"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44" w:rsidRDefault="00850244" w:rsidP="007143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44" w:rsidRDefault="00850244" w:rsidP="0071437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ответственность членов Совета директоров и коллегиального исполнительного органа коммерческого банка за принимаемые решения в области корпоративного управления,</w:t>
            </w: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244" w:rsidRDefault="00850244" w:rsidP="00714370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обоснованные предложения по улучшению практики корпоративного управления в коммерческом банке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244" w:rsidRDefault="00850244" w:rsidP="00714370">
            <w:pPr>
              <w:widowControl w:val="0"/>
              <w:tabs>
                <w:tab w:val="left" w:pos="1080"/>
              </w:tabs>
              <w:spacing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  <w:p w:rsidR="00714370" w:rsidRDefault="00850244" w:rsidP="00714370">
            <w:pPr>
              <w:widowControl w:val="0"/>
              <w:tabs>
                <w:tab w:val="left" w:pos="1080"/>
              </w:tabs>
              <w:spacing w:line="240" w:lineRule="auto"/>
              <w:ind w:firstLine="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 директоров банка с государственным участием при голосовании по вопросу выбора основных направлений кредитной политики поддержали его согласно директивам соответствующего государственного органа. В процессе кредитования исполнительным органом банка были выявлены нарушения его условий и порядка, первоначально одобренных отраслевой комиссией при Министерстве сельского хозяйства РФ, в результате чего некоторые крупные кредиты оказались безвозвратными.</w:t>
            </w:r>
          </w:p>
          <w:p w:rsidR="00850244" w:rsidRDefault="00850244" w:rsidP="00714370">
            <w:pPr>
              <w:widowControl w:val="0"/>
              <w:tabs>
                <w:tab w:val="left" w:pos="108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оценить:</w:t>
            </w:r>
          </w:p>
          <w:p w:rsidR="00850244" w:rsidRDefault="00850244" w:rsidP="00714370">
            <w:pPr>
              <w:widowControl w:val="0"/>
              <w:numPr>
                <w:ilvl w:val="0"/>
                <w:numId w:val="12"/>
              </w:numPr>
              <w:tabs>
                <w:tab w:val="left" w:pos="1080"/>
              </w:tabs>
              <w:spacing w:line="240" w:lineRule="auto"/>
              <w:ind w:left="0" w:firstLine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применения данной процедуры голосования совета директоров при выдаче крупных кредитов;</w:t>
            </w:r>
          </w:p>
          <w:p w:rsidR="00850244" w:rsidRDefault="00850244" w:rsidP="00714370">
            <w:pPr>
              <w:widowControl w:val="0"/>
              <w:numPr>
                <w:ilvl w:val="0"/>
                <w:numId w:val="12"/>
              </w:numPr>
              <w:tabs>
                <w:tab w:val="left" w:pos="1080"/>
              </w:tabs>
              <w:spacing w:line="240" w:lineRule="auto"/>
              <w:ind w:left="0" w:firstLine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применимости к лицам, участвовавшим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принятии решений о выдаче кредитов, мер материальной и иной ответственности;</w:t>
            </w:r>
          </w:p>
          <w:p w:rsidR="00850244" w:rsidRDefault="00850244" w:rsidP="00714370">
            <w:pPr>
              <w:widowControl w:val="0"/>
              <w:numPr>
                <w:ilvl w:val="0"/>
                <w:numId w:val="12"/>
              </w:numPr>
              <w:tabs>
                <w:tab w:val="left" w:pos="1080"/>
              </w:tabs>
              <w:spacing w:line="240" w:lineRule="auto"/>
              <w:ind w:left="0" w:firstLine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целесообразность страхования ответственности членов совета банка.</w:t>
            </w:r>
          </w:p>
        </w:tc>
      </w:tr>
    </w:tbl>
    <w:p w:rsidR="00850244" w:rsidRDefault="00850244" w:rsidP="00850244">
      <w:pPr>
        <w:pStyle w:val="Default"/>
        <w:spacing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850244" w:rsidRDefault="00850244" w:rsidP="00850244">
      <w:pPr>
        <w:pStyle w:val="Default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зачета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принципы корпоративного управления, разработанные ОЭСР: структура, основные разделы 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Принципы корпоративного управления БКБН: структура, основные разделы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Кодекс корпоративного управления Банка России: особенности, основные разделы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567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Необходимость эффективного корпоративного управления и его предпосылки. </w:t>
      </w:r>
      <w:r>
        <w:rPr>
          <w:b w:val="0"/>
          <w:szCs w:val="28"/>
        </w:rPr>
        <w:t>Основные причины разработки Кодекса корпоративного управления в России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Права акционеров и способы обеспечения р</w:t>
      </w:r>
      <w:r>
        <w:rPr>
          <w:b w:val="0"/>
          <w:bCs/>
          <w:szCs w:val="28"/>
        </w:rPr>
        <w:t xml:space="preserve">авенства </w:t>
      </w:r>
      <w:r>
        <w:rPr>
          <w:b w:val="0"/>
          <w:bCs/>
          <w:szCs w:val="28"/>
        </w:rPr>
        <w:br/>
        <w:t>для акционеров при осуществлении ими своих прав. Оценка соблюдения прав акционеров в соответствии с Обзором практики корпоративного управления в российских публичных обществах, ЦБ РФ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обязанности Совета директоров в системе корпоративного управления. Оценка соблюдения принципов Главы II Кодекса корпоративного управления «Совет директоров общества» в соответствии с Обзором практики корпоративного управления в российских публичных обществах, ЦБ РФ 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10"/>
        <w:jc w:val="both"/>
        <w:rPr>
          <w:szCs w:val="28"/>
        </w:rPr>
      </w:pPr>
      <w:r>
        <w:rPr>
          <w:b w:val="0"/>
          <w:szCs w:val="28"/>
        </w:rPr>
        <w:t>Основные требования к составу и членам Совета директоров. Виды комитетов, создаваемых Советом директоров в системе корпоративного управления, их задачи</w:t>
      </w:r>
      <w:r>
        <w:rPr>
          <w:szCs w:val="28"/>
        </w:rPr>
        <w:t xml:space="preserve"> 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Критерии независимости члена Совета директоров (согласно российскому Кодексу корпоративного управления)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Основные принципы построения системы вознаграждения </w:t>
      </w:r>
      <w:r>
        <w:rPr>
          <w:b w:val="0"/>
          <w:bCs/>
          <w:szCs w:val="28"/>
        </w:rPr>
        <w:t>членов Совета директоров, исполнительных органов и иных ключевых руководящих работников. Способы обеспечения долгосрочной мотивации членов Совета директоров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bCs/>
          <w:szCs w:val="28"/>
        </w:rPr>
        <w:t xml:space="preserve">Основные задачи системы </w:t>
      </w:r>
      <w:r>
        <w:rPr>
          <w:b w:val="0"/>
          <w:bCs/>
          <w:iCs/>
          <w:szCs w:val="28"/>
        </w:rPr>
        <w:t xml:space="preserve">управления рисками и </w:t>
      </w:r>
      <w:proofErr w:type="gramStart"/>
      <w:r>
        <w:rPr>
          <w:b w:val="0"/>
          <w:bCs/>
          <w:iCs/>
          <w:szCs w:val="28"/>
        </w:rPr>
        <w:t>внутреннего контроля</w:t>
      </w:r>
      <w:proofErr w:type="gramEnd"/>
      <w:r>
        <w:rPr>
          <w:b w:val="0"/>
          <w:bCs/>
          <w:iCs/>
          <w:szCs w:val="28"/>
        </w:rPr>
        <w:t xml:space="preserve"> и методы построения ее на различных уровнях управления. </w:t>
      </w:r>
      <w:r>
        <w:rPr>
          <w:b w:val="0"/>
          <w:bCs/>
          <w:szCs w:val="28"/>
        </w:rPr>
        <w:t>Оценка соблюдения принципов главы V Кодекса корпоративного управления «Система управления рисками и внутреннего контроля» в соответствии с Обзором практики корпоративного управления в российских публичных обществах, ЦБ РФ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t xml:space="preserve"> </w:t>
      </w:r>
      <w:r>
        <w:rPr>
          <w:b w:val="0"/>
          <w:bCs/>
          <w:iCs/>
          <w:szCs w:val="28"/>
        </w:rPr>
        <w:t xml:space="preserve">Принципы организации проведения внутреннего аудита для оценки надежности и эффективности системы управления рисками и внутреннего контроля, практики корпоративного управления 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Направления оценки эффективности системы внутреннего контроля и системы управления рисками, оценки корпоративного управления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bCs/>
          <w:iCs/>
          <w:szCs w:val="28"/>
        </w:rPr>
        <w:t>Требования к информационной политике общества и составу информации для раскрытия. Содержание дополнительной информации, рекомендуемой для раскрытия в годовом отчете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Понятие и состав существенных корпоративных действий. </w:t>
      </w:r>
      <w:r>
        <w:rPr>
          <w:b w:val="0"/>
          <w:bCs/>
          <w:szCs w:val="28"/>
        </w:rPr>
        <w:t xml:space="preserve">Оценка соблюдения принципов главы </w:t>
      </w:r>
      <w:r>
        <w:rPr>
          <w:b w:val="0"/>
          <w:szCs w:val="28"/>
        </w:rPr>
        <w:t xml:space="preserve">VII Кодекса корпоративного управления «Существенные корпоративные действия» </w:t>
      </w:r>
      <w:r>
        <w:rPr>
          <w:b w:val="0"/>
          <w:bCs/>
          <w:szCs w:val="28"/>
        </w:rPr>
        <w:t>в соответствии с Обзором практики корпоративного управления в российских публичных обществах, ЦБ РФ</w:t>
      </w:r>
    </w:p>
    <w:p w:rsidR="00850244" w:rsidRDefault="00850244" w:rsidP="0085024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Цели и задачи органов надзора в системе корпоративного управления</w:t>
      </w:r>
    </w:p>
    <w:p w:rsidR="00850244" w:rsidRDefault="00850244" w:rsidP="00850244">
      <w:pPr>
        <w:pStyle w:val="ac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16. Основные критерии и показатели оценки качества корпоративного управления.</w:t>
      </w:r>
      <w:r>
        <w:t xml:space="preserve"> </w:t>
      </w:r>
      <w:r>
        <w:rPr>
          <w:b w:val="0"/>
          <w:szCs w:val="28"/>
        </w:rPr>
        <w:t>Подходы Банка России к оценке состояния управления в кредитных организациях (Указание 03.04.2017 N 4336-У от 03.04.2017 «Об оценке экономического положения банков»)</w:t>
      </w:r>
    </w:p>
    <w:p w:rsidR="00850244" w:rsidRDefault="00850244" w:rsidP="00850244">
      <w:pPr>
        <w:pStyle w:val="af7"/>
        <w:widowControl/>
        <w:spacing w:after="120" w:line="360" w:lineRule="auto"/>
        <w:ind w:left="0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  Рейтинг как способ оценки качества корпоративного управления. Его достоинства и недостатки</w:t>
      </w:r>
    </w:p>
    <w:p w:rsidR="00850244" w:rsidRDefault="00850244" w:rsidP="00850244">
      <w:pPr>
        <w:spacing w:after="1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18. Российская практика составления рейтингов корпоративного</w:t>
      </w:r>
    </w:p>
    <w:p w:rsidR="00850244" w:rsidRDefault="00850244" w:rsidP="00850244">
      <w:pPr>
        <w:pStyle w:val="af7"/>
        <w:widowControl/>
        <w:spacing w:after="120" w:line="360" w:lineRule="auto"/>
        <w:ind w:left="710" w:hanging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управления: составители, критерии оценки</w:t>
      </w:r>
    </w:p>
    <w:p w:rsidR="00850244" w:rsidRDefault="00850244" w:rsidP="00850244">
      <w:pPr>
        <w:pStyle w:val="af7"/>
        <w:widowControl/>
        <w:spacing w:after="12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19. Преимущества политики корпоративной социальной ответственности для фирмы. Основные направления и мероприятия в сфере корпоративной социальной ответственности (ГОСТ Р ИСО 26000-2012)</w:t>
      </w:r>
    </w:p>
    <w:p w:rsidR="00850244" w:rsidRDefault="00850244" w:rsidP="00850244">
      <w:pPr>
        <w:pStyle w:val="af7"/>
        <w:widowControl/>
        <w:spacing w:after="120"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20. Специфика мероприятий корпоративной социальной ответственности в банковском секторе</w:t>
      </w:r>
    </w:p>
    <w:p w:rsidR="00850244" w:rsidRDefault="00850244" w:rsidP="00850244">
      <w:pPr>
        <w:pStyle w:val="af7"/>
        <w:widowControl/>
        <w:spacing w:after="120" w:line="360" w:lineRule="auto"/>
        <w:ind w:left="142" w:firstLine="56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21. Значение и направления совершенствования нефинансовой отчетности в деятельности коммерческих банков</w:t>
      </w:r>
    </w:p>
    <w:p w:rsidR="00850244" w:rsidRDefault="00850244" w:rsidP="00850244">
      <w:pPr>
        <w:pStyle w:val="af7"/>
        <w:widowControl/>
        <w:spacing w:after="120"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22. Специфика банковского персонала и особенности кадровой политики в банковской сфере</w:t>
      </w:r>
    </w:p>
    <w:p w:rsidR="00850244" w:rsidRDefault="00850244" w:rsidP="00850244">
      <w:pPr>
        <w:pStyle w:val="af7"/>
        <w:widowControl/>
        <w:spacing w:after="120" w:line="360" w:lineRule="auto"/>
        <w:ind w:left="-142" w:firstLine="85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23. Планирование банковского персонала: задачи, основание для планирования, показатели оценки эффективности. Особенности отбора и найма банковского персонала</w:t>
      </w:r>
    </w:p>
    <w:p w:rsidR="00850244" w:rsidRDefault="00850244" w:rsidP="00850244">
      <w:pPr>
        <w:pStyle w:val="af7"/>
        <w:widowControl/>
        <w:spacing w:after="120" w:line="360" w:lineRule="auto"/>
        <w:ind w:left="-142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24. Основные принципы организации системы вознаграждений (Письмо&gt; Банка России от 21.03.2012 N 38-Т "О рекомендациях Базельского комитета по банковскому надзору "Методики корректировок вознаграждений с учетом рисков и результатов деятельности")</w:t>
      </w:r>
    </w:p>
    <w:p w:rsidR="00850244" w:rsidRDefault="00850244" w:rsidP="00850244">
      <w:pPr>
        <w:pStyle w:val="af7"/>
        <w:widowControl/>
        <w:spacing w:after="120" w:line="360" w:lineRule="auto"/>
        <w:ind w:left="-142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25. Требования Банка России к организации системы мотивации в российских кредитных организациях (Инструкция 154-И от 07.06.2014 г.)</w:t>
      </w:r>
    </w:p>
    <w:p w:rsidR="00850244" w:rsidRDefault="00850244" w:rsidP="00850244">
      <w:pPr>
        <w:spacing w:after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26. Понятие банковской культуры и ее подсистемы</w:t>
      </w:r>
    </w:p>
    <w:p w:rsidR="00850244" w:rsidRDefault="00850244" w:rsidP="00850244">
      <w:pPr>
        <w:pStyle w:val="af7"/>
        <w:widowControl/>
        <w:spacing w:after="120" w:line="360" w:lineRule="auto"/>
        <w:ind w:left="709"/>
        <w:contextualSpacing/>
        <w:jc w:val="both"/>
        <w:rPr>
          <w:b/>
          <w:sz w:val="28"/>
          <w:szCs w:val="28"/>
        </w:rPr>
      </w:pPr>
    </w:p>
    <w:p w:rsidR="00850244" w:rsidRDefault="00850244" w:rsidP="00850244">
      <w:pPr>
        <w:pStyle w:val="Default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50244" w:rsidRDefault="00850244" w:rsidP="00850244">
      <w:pPr>
        <w:spacing w:line="360" w:lineRule="auto"/>
        <w:ind w:left="72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Нормативно-правовые акты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 xml:space="preserve">Инструкция Банка России № 154-И от 07.06.2014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</w:t>
      </w:r>
      <w:r>
        <w:rPr>
          <w:rStyle w:val="FontStyle73"/>
          <w:sz w:val="28"/>
          <w:szCs w:val="28"/>
        </w:rPr>
        <w:lastRenderedPageBreak/>
        <w:t>системе оплаты труда»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42"/>
          <w:tab w:val="left" w:pos="448"/>
          <w:tab w:val="left" w:pos="1134"/>
        </w:tabs>
        <w:spacing w:line="360" w:lineRule="auto"/>
        <w:jc w:val="both"/>
      </w:pPr>
      <w:r>
        <w:rPr>
          <w:sz w:val="28"/>
          <w:szCs w:val="24"/>
        </w:rPr>
        <w:t>Указание Банка России от 03.04.2017 N 4336-У (ред. от 27.11.2018) "Об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оценке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экономического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положения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банков"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(вместе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"Методикой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оценки</w:t>
      </w:r>
      <w:r>
        <w:rPr>
          <w:spacing w:val="-67"/>
          <w:sz w:val="28"/>
          <w:szCs w:val="24"/>
        </w:rPr>
        <w:t xml:space="preserve"> </w:t>
      </w:r>
      <w:r>
        <w:rPr>
          <w:sz w:val="28"/>
          <w:szCs w:val="24"/>
        </w:rPr>
        <w:t>показателей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прозрачности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структуры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собственности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банка")//</w:t>
      </w:r>
      <w:r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>Информационно-правовой</w:t>
      </w:r>
      <w:r>
        <w:rPr>
          <w:spacing w:val="-1"/>
          <w:sz w:val="28"/>
          <w:szCs w:val="24"/>
        </w:rPr>
        <w:t xml:space="preserve"> </w:t>
      </w:r>
      <w:r>
        <w:rPr>
          <w:sz w:val="28"/>
          <w:szCs w:val="24"/>
        </w:rPr>
        <w:t>портал</w:t>
      </w:r>
      <w:r>
        <w:rPr>
          <w:spacing w:val="-1"/>
          <w:sz w:val="28"/>
          <w:szCs w:val="24"/>
        </w:rPr>
        <w:t xml:space="preserve"> </w:t>
      </w:r>
      <w:r>
        <w:rPr>
          <w:sz w:val="28"/>
          <w:szCs w:val="24"/>
        </w:rPr>
        <w:t>Консультант</w:t>
      </w:r>
      <w:r>
        <w:rPr>
          <w:spacing w:val="-3"/>
          <w:sz w:val="28"/>
          <w:szCs w:val="24"/>
        </w:rPr>
        <w:t xml:space="preserve"> </w:t>
      </w:r>
      <w:r>
        <w:rPr>
          <w:sz w:val="28"/>
          <w:szCs w:val="24"/>
        </w:rPr>
        <w:t xml:space="preserve">Плюс. 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Банка России № ИН-06-28/57 от 11.12.2017 «О рекомендациях по раскрытию в годовом отчете публичного акционерного общества информации о вознаграждении членов совета директоров (наблюдательного совета), членов исполнительных органов и иных ключевых руководящих работников публичного акционерного общества»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Банка России № ИН-015-52/66 от 15.09.2016 «О положениях о совете директоров и о комитетах совета директоров публичного акционерного общества»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Банка Росси № ИН-06-52/8 от 17.02.2016 «О раскрытии в годовом отчёте публичного акционерного общества отчета о соблюдении принципов и рекомендаций Кодекса корпоративного управления»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Банка России № 06-52/2825 от 30.03.2015 «О раскрытии в годовом отчете акционерного общества за 2014 год сведений о соблюдении положений Кодекса корпоративного управления»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Банка России № 06-52/2463 от 10.04.2014 «О Кодексе корпоративного управления»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Письмо № 11-Т от 07.02.2007 «О перечне вопросов для проведения кредитными организациями оценки состояния корпоративного управления»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rStyle w:val="FontStyle73"/>
          <w:sz w:val="28"/>
          <w:szCs w:val="28"/>
        </w:rPr>
        <w:t>Руководство по социальной ответственности. ГОСТ Р ИСО 26000-2012. Введено в действие Приказом Росстандарта № 1611-ст от 29.11.2012.</w:t>
      </w:r>
    </w:p>
    <w:p w:rsidR="00850244" w:rsidRDefault="00850244" w:rsidP="00850244">
      <w:pPr>
        <w:pStyle w:val="af7"/>
        <w:numPr>
          <w:ilvl w:val="0"/>
          <w:numId w:val="16"/>
        </w:numPr>
        <w:tabs>
          <w:tab w:val="clear" w:pos="720"/>
          <w:tab w:val="left" w:pos="142"/>
          <w:tab w:val="left" w:pos="1134"/>
        </w:tabs>
        <w:spacing w:line="360" w:lineRule="auto"/>
        <w:contextualSpacing/>
        <w:jc w:val="both"/>
        <w:rPr>
          <w:sz w:val="28"/>
        </w:rPr>
      </w:pPr>
      <w:r>
        <w:rPr>
          <w:sz w:val="28"/>
        </w:rPr>
        <w:t>Банк России. Обзор практики корпоративного управления в российских публичных обществах по итогам 2021 года., М., 2022</w:t>
      </w:r>
    </w:p>
    <w:p w:rsidR="00850244" w:rsidRDefault="00850244" w:rsidP="00850244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contextualSpacing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Б) Основная литература</w:t>
      </w:r>
    </w:p>
    <w:p w:rsidR="00850244" w:rsidRDefault="00850244" w:rsidP="00850244">
      <w:pPr>
        <w:pStyle w:val="Style48"/>
        <w:tabs>
          <w:tab w:val="left" w:pos="355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1. Корпоративное</w:t>
      </w:r>
      <w:r>
        <w:rPr>
          <w:sz w:val="28"/>
        </w:rPr>
        <w:t xml:space="preserve"> управление в коммерческом </w:t>
      </w:r>
      <w:proofErr w:type="gramStart"/>
      <w:r>
        <w:rPr>
          <w:sz w:val="28"/>
        </w:rPr>
        <w:t>банке :</w:t>
      </w:r>
      <w:proofErr w:type="gramEnd"/>
      <w:r>
        <w:rPr>
          <w:sz w:val="28"/>
        </w:rPr>
        <w:t xml:space="preserve"> учеб. для студентов,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 xml:space="preserve">. по напр. «Финансы и кредит» / </w:t>
      </w:r>
      <w:proofErr w:type="spellStart"/>
      <w:r>
        <w:rPr>
          <w:sz w:val="28"/>
        </w:rPr>
        <w:t>Хутаев</w:t>
      </w:r>
      <w:proofErr w:type="spellEnd"/>
      <w:r>
        <w:rPr>
          <w:sz w:val="28"/>
        </w:rPr>
        <w:t xml:space="preserve"> Р. И., </w:t>
      </w:r>
      <w:proofErr w:type="spellStart"/>
      <w:r>
        <w:rPr>
          <w:sz w:val="28"/>
        </w:rPr>
        <w:t>Авис</w:t>
      </w:r>
      <w:proofErr w:type="spellEnd"/>
      <w:r>
        <w:rPr>
          <w:sz w:val="28"/>
        </w:rPr>
        <w:t xml:space="preserve"> О. У., </w:t>
      </w:r>
      <w:proofErr w:type="spellStart"/>
      <w:r>
        <w:rPr>
          <w:sz w:val="28"/>
        </w:rPr>
        <w:t>Горькова</w:t>
      </w:r>
      <w:proofErr w:type="spellEnd"/>
      <w:r>
        <w:rPr>
          <w:sz w:val="28"/>
        </w:rPr>
        <w:t xml:space="preserve"> Н. М. [и др.] ; под ред. О. С. Рудаковой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, 2020. — 439 с. — ISBN 978-5-406-07135-9. — (Магистратура). — ЭБС BOOK.ru. — URL: https://book.ru/book/933988 (дата обращения: 16.03.2023).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850244" w:rsidRDefault="00850244" w:rsidP="00850244">
      <w:pPr>
        <w:spacing w:line="360" w:lineRule="auto"/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850244" w:rsidRDefault="00850244" w:rsidP="00850244">
      <w:pPr>
        <w:pStyle w:val="Style48"/>
        <w:tabs>
          <w:tab w:val="left" w:pos="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503 с. — ЭБС BOOK.ru. — URL:</w:t>
      </w:r>
      <w:r>
        <w:t xml:space="preserve"> </w:t>
      </w:r>
      <w:r>
        <w:rPr>
          <w:sz w:val="28"/>
          <w:szCs w:val="28"/>
        </w:rPr>
        <w:t xml:space="preserve">https://book.ru/books/949371 (дата обращения: </w:t>
      </w:r>
      <w:r>
        <w:rPr>
          <w:sz w:val="28"/>
        </w:rPr>
        <w:t>16.03.2023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0244" w:rsidRDefault="00850244" w:rsidP="00850244">
      <w:pPr>
        <w:pStyle w:val="Style48"/>
        <w:tabs>
          <w:tab w:val="left" w:pos="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Корпоративная социальная </w:t>
      </w:r>
      <w:proofErr w:type="gramStart"/>
      <w:r>
        <w:rPr>
          <w:sz w:val="28"/>
          <w:szCs w:val="28"/>
        </w:rPr>
        <w:t>ответственность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«Менеджмент»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Х. П. </w:t>
      </w:r>
      <w:proofErr w:type="spellStart"/>
      <w:r>
        <w:rPr>
          <w:sz w:val="28"/>
          <w:szCs w:val="28"/>
        </w:rPr>
        <w:t>Харчилава</w:t>
      </w:r>
      <w:proofErr w:type="spellEnd"/>
      <w:r>
        <w:rPr>
          <w:sz w:val="28"/>
          <w:szCs w:val="28"/>
        </w:rPr>
        <w:t xml:space="preserve">, Б. С. </w:t>
      </w:r>
      <w:proofErr w:type="spellStart"/>
      <w:r>
        <w:rPr>
          <w:sz w:val="28"/>
          <w:szCs w:val="28"/>
        </w:rPr>
        <w:t>Батаева</w:t>
      </w:r>
      <w:proofErr w:type="spellEnd"/>
      <w:r>
        <w:rPr>
          <w:sz w:val="28"/>
          <w:szCs w:val="28"/>
        </w:rPr>
        <w:t>, Е. Ю. Беляева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И. Ю. Беляевой,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2018. — 316 с. — ЭБС BOOK.ru. — </w:t>
      </w:r>
      <w:proofErr w:type="gramStart"/>
      <w:r>
        <w:rPr>
          <w:sz w:val="28"/>
          <w:szCs w:val="28"/>
        </w:rPr>
        <w:t>URL:https://book.ru/book/927771</w:t>
      </w:r>
      <w:proofErr w:type="gramEnd"/>
      <w:r>
        <w:rPr>
          <w:sz w:val="28"/>
          <w:szCs w:val="28"/>
        </w:rPr>
        <w:t xml:space="preserve"> (дата обращения: </w:t>
      </w:r>
      <w:r>
        <w:rPr>
          <w:sz w:val="28"/>
        </w:rPr>
        <w:t>16.03.2023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0244" w:rsidRDefault="00850244" w:rsidP="00850244">
      <w:pPr>
        <w:pStyle w:val="Style48"/>
        <w:tabs>
          <w:tab w:val="left" w:pos="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Корпоративные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прогр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образования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Е. И. Шохин, Г. И. </w:t>
      </w:r>
      <w:proofErr w:type="spellStart"/>
      <w:r>
        <w:rPr>
          <w:sz w:val="28"/>
          <w:szCs w:val="28"/>
        </w:rPr>
        <w:t>Хотинская</w:t>
      </w:r>
      <w:proofErr w:type="spellEnd"/>
      <w:r>
        <w:rPr>
          <w:sz w:val="28"/>
          <w:szCs w:val="28"/>
        </w:rPr>
        <w:t xml:space="preserve">, Т. В. </w:t>
      </w:r>
      <w:proofErr w:type="spellStart"/>
      <w:r>
        <w:rPr>
          <w:sz w:val="28"/>
          <w:szCs w:val="28"/>
        </w:rPr>
        <w:t>Тазихина</w:t>
      </w:r>
      <w:proofErr w:type="spellEnd"/>
      <w:r>
        <w:rPr>
          <w:sz w:val="28"/>
          <w:szCs w:val="28"/>
        </w:rPr>
        <w:t xml:space="preserve">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М. А. Федотовой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480 с. — ЭБС BOOK.ru. — </w:t>
      </w:r>
      <w:proofErr w:type="gramStart"/>
      <w:r>
        <w:rPr>
          <w:sz w:val="28"/>
          <w:szCs w:val="28"/>
        </w:rPr>
        <w:t>URL:https://book.ru/book/943100</w:t>
      </w:r>
      <w:proofErr w:type="gramEnd"/>
      <w:r>
        <w:rPr>
          <w:sz w:val="28"/>
          <w:szCs w:val="28"/>
        </w:rPr>
        <w:t xml:space="preserve"> (дата обращения: </w:t>
      </w:r>
      <w:r>
        <w:rPr>
          <w:sz w:val="28"/>
        </w:rPr>
        <w:t>16.03.2023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0244" w:rsidRDefault="00850244" w:rsidP="00850244">
      <w:pPr>
        <w:pStyle w:val="Style48"/>
        <w:widowControl/>
        <w:tabs>
          <w:tab w:val="left" w:pos="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Риск–менеджмент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монография /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– 453 с. – ЭБС BOOK.ru. – URL: </w:t>
      </w:r>
      <w:r>
        <w:rPr>
          <w:sz w:val="28"/>
          <w:szCs w:val="28"/>
        </w:rPr>
        <w:lastRenderedPageBreak/>
        <w:t xml:space="preserve">https://book.ru/book/933610 (дата обращения: </w:t>
      </w:r>
      <w:r>
        <w:rPr>
          <w:sz w:val="28"/>
        </w:rPr>
        <w:t>16.03.2023</w:t>
      </w:r>
      <w:r>
        <w:rPr>
          <w:sz w:val="28"/>
          <w:szCs w:val="28"/>
        </w:rPr>
        <w:t xml:space="preserve">). – </w:t>
      </w:r>
      <w:bookmarkStart w:id="2" w:name="_GoBack1"/>
      <w:bookmarkEnd w:id="2"/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0244" w:rsidRDefault="00850244" w:rsidP="008502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Cs w:val="28"/>
        </w:rPr>
      </w:pPr>
    </w:p>
    <w:p w:rsidR="00850244" w:rsidRDefault="00850244" w:rsidP="008502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программы практики</w:t>
      </w:r>
    </w:p>
    <w:p w:rsidR="00850244" w:rsidRDefault="00850244" w:rsidP="00850244">
      <w:pPr>
        <w:pStyle w:val="Default"/>
        <w:rPr>
          <w:sz w:val="28"/>
          <w:szCs w:val="28"/>
        </w:rPr>
      </w:pP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1. Документы Базельского комитета по банковскому надзору. </w:t>
      </w:r>
      <w:r>
        <w:rPr>
          <w:sz w:val="28"/>
          <w:szCs w:val="28"/>
          <w:lang w:val="en-US"/>
        </w:rPr>
        <w:t xml:space="preserve">URL: https://www.bis.org/bcbs/publications.htm. </w:t>
      </w: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Документы Организации экономического сотрудничества и развития. URL: http://www.oecd.org/about/publishing/. </w:t>
      </w: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Обзоры практики корпоративного управления в российских публичных обществах. Банк России. URL: http://www.cbr.ru/analytics/overview_practices/. </w:t>
      </w: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Отчеты европейских стран о внедрении Кодексов корпоративного управления. URL: http://www.ecgcn.org/Monitoring-Reports.aspx. </w:t>
      </w: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5. Сайт РСПП. </w:t>
      </w:r>
      <w:r>
        <w:rPr>
          <w:sz w:val="28"/>
          <w:szCs w:val="28"/>
          <w:lang w:val="en-US"/>
        </w:rPr>
        <w:t xml:space="preserve">URL: http://www.rspp.ru/simplepage/472. </w:t>
      </w:r>
    </w:p>
    <w:p w:rsidR="00850244" w:rsidRDefault="00850244" w:rsidP="00850244">
      <w:pPr>
        <w:pStyle w:val="Default"/>
        <w:spacing w:after="20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6. Сайт Международного совета по интегрированной отчетности. </w:t>
      </w:r>
      <w:r>
        <w:rPr>
          <w:sz w:val="28"/>
          <w:szCs w:val="28"/>
          <w:lang w:val="en-US"/>
        </w:rPr>
        <w:t xml:space="preserve">URL: http://ir.org.ru/biblioteka/materialy-msio. </w:t>
      </w:r>
    </w:p>
    <w:p w:rsidR="00850244" w:rsidRDefault="00850244" w:rsidP="00850244">
      <w:pPr>
        <w:pStyle w:val="Default"/>
        <w:jc w:val="both"/>
        <w:rPr>
          <w:color w:val="auto"/>
          <w:lang w:val="en-US"/>
        </w:rPr>
      </w:pPr>
      <w:r>
        <w:rPr>
          <w:sz w:val="28"/>
          <w:szCs w:val="28"/>
        </w:rPr>
        <w:t xml:space="preserve">7. Сайт Европейской ассоциации этических банков. </w:t>
      </w:r>
      <w:r>
        <w:rPr>
          <w:sz w:val="28"/>
          <w:szCs w:val="28"/>
          <w:lang w:val="en-US"/>
        </w:rPr>
        <w:t xml:space="preserve">URL: </w:t>
      </w:r>
      <w:hyperlink r:id="rId25" w:history="1">
        <w:r>
          <w:rPr>
            <w:rStyle w:val="aff5"/>
            <w:color w:val="000000"/>
            <w:sz w:val="28"/>
            <w:szCs w:val="28"/>
            <w:u w:val="none"/>
            <w:lang w:val="en-US"/>
          </w:rPr>
          <w:t>http://www.febea.org/</w:t>
        </w:r>
      </w:hyperlink>
      <w:r>
        <w:rPr>
          <w:sz w:val="28"/>
          <w:szCs w:val="28"/>
          <w:lang w:val="en-US"/>
        </w:rPr>
        <w:t xml:space="preserve">.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Электронные источники БИК: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Электронная библиотека Финансового университета (ЭБ) http://elib.fa.ru/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BOOK.RU http://www.book.ru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auto"/>
          <w:sz w:val="28"/>
          <w:szCs w:val="28"/>
        </w:rPr>
        <w:t>Znanium</w:t>
      </w:r>
      <w:proofErr w:type="spellEnd"/>
      <w:r>
        <w:rPr>
          <w:color w:val="auto"/>
          <w:sz w:val="28"/>
          <w:szCs w:val="28"/>
        </w:rPr>
        <w:t xml:space="preserve"> http://www.znanium.com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Деловая онлайн-библиотека </w:t>
      </w:r>
      <w:proofErr w:type="spellStart"/>
      <w:r>
        <w:rPr>
          <w:color w:val="auto"/>
          <w:sz w:val="28"/>
          <w:szCs w:val="28"/>
        </w:rPr>
        <w:t>Alpina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Digital</w:t>
      </w:r>
      <w:proofErr w:type="spellEnd"/>
      <w:r>
        <w:rPr>
          <w:color w:val="auto"/>
          <w:sz w:val="28"/>
          <w:szCs w:val="28"/>
        </w:rPr>
        <w:t xml:space="preserve"> http://lib.alpinadigital.ru/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Научная электронная библиотека eLibrary.ru http://elibrary.ru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Национальная электронная библиотека http://нэб.рф/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>
        <w:rPr>
          <w:color w:val="auto"/>
          <w:sz w:val="28"/>
          <w:szCs w:val="28"/>
        </w:rPr>
        <w:t>iLibrary</w:t>
      </w:r>
      <w:proofErr w:type="spellEnd"/>
      <w:r>
        <w:rPr>
          <w:color w:val="auto"/>
          <w:sz w:val="28"/>
          <w:szCs w:val="28"/>
        </w:rPr>
        <w:t xml:space="preserve"> http://www.oecd-ilibrary.org/ </w:t>
      </w:r>
    </w:p>
    <w:p w:rsidR="00850244" w:rsidRDefault="00850244" w:rsidP="00850244">
      <w:pPr>
        <w:pStyle w:val="Default"/>
        <w:spacing w:after="204"/>
        <w:contextualSpacing/>
        <w:jc w:val="both"/>
        <w:rPr>
          <w:color w:val="auto"/>
          <w:sz w:val="28"/>
          <w:szCs w:val="28"/>
        </w:rPr>
      </w:pPr>
    </w:p>
    <w:p w:rsidR="00850244" w:rsidRDefault="00850244" w:rsidP="00850244">
      <w:pPr>
        <w:pStyle w:val="Default"/>
        <w:spacing w:after="204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Информационный ресурс, содержащий информацию о зарегистрированных юридических лицах и индивидуальных предпринимателях («СПАРК») </w:t>
      </w:r>
    </w:p>
    <w:p w:rsidR="00850244" w:rsidRDefault="00850244" w:rsidP="00850244">
      <w:pPr>
        <w:pStyle w:val="Default"/>
        <w:jc w:val="both"/>
        <w:rPr>
          <w:color w:val="auto"/>
          <w:sz w:val="28"/>
          <w:szCs w:val="28"/>
        </w:rPr>
      </w:pPr>
    </w:p>
    <w:p w:rsidR="00850244" w:rsidRPr="00714370" w:rsidRDefault="00850244" w:rsidP="007143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10. Пакет баз данных компании EBSCO </w:t>
      </w:r>
      <w:proofErr w:type="spellStart"/>
      <w:r>
        <w:rPr>
          <w:color w:val="auto"/>
          <w:sz w:val="28"/>
          <w:szCs w:val="28"/>
        </w:rPr>
        <w:t>Publishing</w:t>
      </w:r>
      <w:proofErr w:type="spellEnd"/>
      <w:r>
        <w:rPr>
          <w:color w:val="auto"/>
          <w:sz w:val="28"/>
          <w:szCs w:val="28"/>
        </w:rPr>
        <w:t xml:space="preserve">, крупнейшего агрегатора научных ресурсов ведущих издательств мира http://search.ebscohost.com </w:t>
      </w:r>
    </w:p>
    <w:p w:rsidR="00850244" w:rsidRDefault="00850244" w:rsidP="00850244">
      <w:pPr>
        <w:keepNext/>
        <w:keepLines/>
        <w:widowControl w:val="0"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:rsidR="00850244" w:rsidRDefault="00850244" w:rsidP="007143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50244" w:rsidRDefault="00850244" w:rsidP="00850244">
      <w:pPr>
        <w:keepNext/>
        <w:keepLines/>
        <w:widowControl w:val="0"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bookmarkStart w:id="3" w:name="_Toc49723336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3"/>
    </w:p>
    <w:p w:rsidR="00850244" w:rsidRDefault="00850244" w:rsidP="008502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:rsidR="00850244" w:rsidRDefault="00850244" w:rsidP="008502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4" w:name="_Toc531614950"/>
      <w:bookmarkStart w:id="5" w:name="_Toc531686467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"/>
      <w:bookmarkEnd w:id="5"/>
    </w:p>
    <w:p w:rsidR="00850244" w:rsidRDefault="00850244" w:rsidP="008502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_Toc419302736"/>
      <w:bookmarkStart w:id="7" w:name="_Toc419286900"/>
      <w:bookmarkEnd w:id="6"/>
      <w:bookmarkEnd w:id="7"/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850244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:rsidR="00850244" w:rsidRDefault="00850244" w:rsidP="00850244">
      <w:pPr>
        <w:keepNext/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8" w:name="_Toc531614953"/>
      <w:bookmarkStart w:id="9" w:name="_Toc53168647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850244" w:rsidRDefault="00850244" w:rsidP="00850244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50244" w:rsidRDefault="00850244" w:rsidP="00850244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850244" w:rsidRDefault="00850244" w:rsidP="00850244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850244" w:rsidRDefault="00850244" w:rsidP="00850244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Bloomberg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СПАРК-Интерфакс</w:t>
      </w:r>
    </w:p>
    <w:p w:rsidR="00850244" w:rsidRDefault="00850244" w:rsidP="00850244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используются</w:t>
      </w:r>
    </w:p>
    <w:p w:rsidR="00850244" w:rsidRDefault="00850244" w:rsidP="00850244">
      <w:pPr>
        <w:keepNext/>
        <w:keepLines/>
        <w:widowControl w:val="0"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49723336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12. Описание материально-технической базы, необходимой для осуществления образовательного процесса по дисциплине </w:t>
      </w:r>
      <w:bookmarkEnd w:id="10"/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850244" w:rsidRDefault="00850244" w:rsidP="008502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850244" w:rsidRDefault="00850244" w:rsidP="00850244">
      <w:pPr>
        <w:keepNext/>
        <w:keepLines/>
        <w:widowControl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0244" w:rsidRDefault="00850244" w:rsidP="00850244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0244" w:rsidRDefault="00850244" w:rsidP="008502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0244" w:rsidRDefault="00850244" w:rsidP="008502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0244" w:rsidRDefault="00850244" w:rsidP="00850244">
      <w:pPr>
        <w:pStyle w:val="Default"/>
        <w:spacing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D20219" w:rsidRDefault="00D20219" w:rsidP="00850244">
      <w:pPr>
        <w:tabs>
          <w:tab w:val="left" w:pos="284"/>
        </w:tabs>
        <w:ind w:hanging="426"/>
      </w:pPr>
    </w:p>
    <w:sectPr w:rsidR="00D20219" w:rsidSect="00714370">
      <w:footerReference w:type="default" r:id="rId26"/>
      <w:pgSz w:w="11906" w:h="16838"/>
      <w:pgMar w:top="1134" w:right="1133" w:bottom="1134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4E4" w:rsidRDefault="008374E4" w:rsidP="00714370">
      <w:pPr>
        <w:spacing w:after="0" w:line="240" w:lineRule="auto"/>
      </w:pPr>
      <w:r>
        <w:separator/>
      </w:r>
    </w:p>
  </w:endnote>
  <w:endnote w:type="continuationSeparator" w:id="0">
    <w:p w:rsidR="008374E4" w:rsidRDefault="008374E4" w:rsidP="00714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Lucida Grande CY">
    <w:charset w:val="59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9383855"/>
      <w:docPartObj>
        <w:docPartGallery w:val="Page Numbers (Bottom of Page)"/>
        <w:docPartUnique/>
      </w:docPartObj>
    </w:sdtPr>
    <w:sdtContent>
      <w:p w:rsidR="00714370" w:rsidRDefault="007143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14370" w:rsidRDefault="007143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4E4" w:rsidRDefault="008374E4" w:rsidP="00714370">
      <w:pPr>
        <w:spacing w:after="0" w:line="240" w:lineRule="auto"/>
      </w:pPr>
      <w:r>
        <w:separator/>
      </w:r>
    </w:p>
  </w:footnote>
  <w:footnote w:type="continuationSeparator" w:id="0">
    <w:p w:rsidR="008374E4" w:rsidRDefault="008374E4" w:rsidP="00714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E486B"/>
    <w:multiLevelType w:val="multilevel"/>
    <w:tmpl w:val="DF265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22D4E3A"/>
    <w:multiLevelType w:val="multilevel"/>
    <w:tmpl w:val="BBDA12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CE4545B"/>
    <w:multiLevelType w:val="multilevel"/>
    <w:tmpl w:val="E2429C9C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040D0F"/>
    <w:multiLevelType w:val="multilevel"/>
    <w:tmpl w:val="6D32798E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FD07625"/>
    <w:multiLevelType w:val="multilevel"/>
    <w:tmpl w:val="91C6070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901CBA"/>
    <w:multiLevelType w:val="multilevel"/>
    <w:tmpl w:val="8D9C4238"/>
    <w:lvl w:ilvl="0">
      <w:start w:val="1"/>
      <w:numFmt w:val="bullet"/>
      <w:lvlText w:val="−"/>
      <w:lvlJc w:val="left"/>
      <w:pPr>
        <w:tabs>
          <w:tab w:val="num" w:pos="0"/>
        </w:tabs>
        <w:ind w:left="83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BF6A4F"/>
    <w:multiLevelType w:val="multilevel"/>
    <w:tmpl w:val="47643C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3D125B"/>
    <w:multiLevelType w:val="multilevel"/>
    <w:tmpl w:val="D42C372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3"/>
  </w:num>
  <w:num w:numId="5">
    <w:abstractNumId w:val="5"/>
  </w:num>
  <w:num w:numId="6">
    <w:abstractNumId w:val="5"/>
  </w:num>
  <w:num w:numId="7">
    <w:abstractNumId w:val="4"/>
  </w:num>
  <w:num w:numId="8">
    <w:abstractNumId w:val="4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244"/>
    <w:rsid w:val="00134CAC"/>
    <w:rsid w:val="00714370"/>
    <w:rsid w:val="008374E4"/>
    <w:rsid w:val="00850244"/>
    <w:rsid w:val="00D20219"/>
    <w:rsid w:val="00E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B31A"/>
  <w15:chartTrackingRefBased/>
  <w15:docId w15:val="{A647EE43-3530-48DB-BE8E-4ACCD64B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0244"/>
    <w:pPr>
      <w:suppressAutoHyphens/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8502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502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">
    <w:name w:val="HTML Preformatted"/>
    <w:basedOn w:val="a"/>
    <w:link w:val="HTML1"/>
    <w:semiHidden/>
    <w:unhideWhenUsed/>
    <w:qFormat/>
    <w:rsid w:val="008502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850244"/>
    <w:rPr>
      <w:rFonts w:ascii="Courier New" w:eastAsia="Courier New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qFormat/>
    <w:rsid w:val="00850244"/>
    <w:rPr>
      <w:rFonts w:ascii="Consolas" w:hAnsi="Consolas"/>
      <w:sz w:val="20"/>
      <w:szCs w:val="20"/>
    </w:rPr>
  </w:style>
  <w:style w:type="character" w:styleId="a3">
    <w:name w:val="Strong"/>
    <w:qFormat/>
    <w:rsid w:val="00850244"/>
    <w:rPr>
      <w:rFonts w:ascii="Times New Roman" w:eastAsia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qFormat/>
    <w:rsid w:val="00850244"/>
    <w:pPr>
      <w:spacing w:before="100" w:beforeAutospacing="1" w:after="100" w:afterAutospacing="1"/>
    </w:pPr>
    <w:rPr>
      <w:rFonts w:eastAsia="Times New Roman"/>
      <w:lang w:eastAsia="ar-SA"/>
    </w:rPr>
  </w:style>
  <w:style w:type="paragraph" w:styleId="11">
    <w:name w:val="toc 1"/>
    <w:basedOn w:val="a"/>
    <w:next w:val="a"/>
    <w:autoRedefine/>
    <w:uiPriority w:val="39"/>
    <w:unhideWhenUsed/>
    <w:qFormat/>
    <w:rsid w:val="00850244"/>
    <w:pPr>
      <w:widowControl w:val="0"/>
      <w:spacing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850244"/>
    <w:pPr>
      <w:widowControl w:val="0"/>
      <w:spacing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12"/>
    <w:semiHidden/>
    <w:unhideWhenUsed/>
    <w:qFormat/>
    <w:rsid w:val="00850244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link w:val="a4"/>
    <w:semiHidden/>
    <w:locked/>
    <w:rsid w:val="00850244"/>
    <w:rPr>
      <w:sz w:val="20"/>
      <w:szCs w:val="20"/>
    </w:rPr>
  </w:style>
  <w:style w:type="character" w:customStyle="1" w:styleId="a5">
    <w:name w:val="Текст примечания Знак"/>
    <w:basedOn w:val="a0"/>
    <w:semiHidden/>
    <w:qFormat/>
    <w:rsid w:val="00850244"/>
    <w:rPr>
      <w:sz w:val="20"/>
      <w:szCs w:val="20"/>
    </w:rPr>
  </w:style>
  <w:style w:type="paragraph" w:styleId="a6">
    <w:name w:val="header"/>
    <w:basedOn w:val="a"/>
    <w:link w:val="13"/>
    <w:uiPriority w:val="99"/>
    <w:unhideWhenUsed/>
    <w:qFormat/>
    <w:rsid w:val="00850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locked/>
    <w:rsid w:val="00850244"/>
  </w:style>
  <w:style w:type="character" w:customStyle="1" w:styleId="a7">
    <w:name w:val="Верхний колонтитул Знак"/>
    <w:basedOn w:val="a0"/>
    <w:uiPriority w:val="99"/>
    <w:semiHidden/>
    <w:qFormat/>
    <w:rsid w:val="00850244"/>
  </w:style>
  <w:style w:type="paragraph" w:styleId="a8">
    <w:name w:val="footer"/>
    <w:basedOn w:val="a"/>
    <w:link w:val="14"/>
    <w:uiPriority w:val="99"/>
    <w:unhideWhenUsed/>
    <w:qFormat/>
    <w:rsid w:val="00850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8"/>
    <w:uiPriority w:val="99"/>
    <w:locked/>
    <w:rsid w:val="00850244"/>
  </w:style>
  <w:style w:type="character" w:customStyle="1" w:styleId="a9">
    <w:name w:val="Нижний колонтитул Знак"/>
    <w:basedOn w:val="a0"/>
    <w:uiPriority w:val="99"/>
    <w:qFormat/>
    <w:rsid w:val="00850244"/>
  </w:style>
  <w:style w:type="paragraph" w:styleId="aa">
    <w:name w:val="Body Text"/>
    <w:basedOn w:val="a"/>
    <w:link w:val="15"/>
    <w:semiHidden/>
    <w:unhideWhenUsed/>
    <w:qFormat/>
    <w:rsid w:val="00850244"/>
    <w:pPr>
      <w:spacing w:after="140" w:line="276" w:lineRule="auto"/>
    </w:pPr>
  </w:style>
  <w:style w:type="character" w:customStyle="1" w:styleId="15">
    <w:name w:val="Основной текст Знак1"/>
    <w:basedOn w:val="a0"/>
    <w:link w:val="aa"/>
    <w:semiHidden/>
    <w:locked/>
    <w:rsid w:val="00850244"/>
  </w:style>
  <w:style w:type="character" w:customStyle="1" w:styleId="ab">
    <w:name w:val="Основной текст Знак"/>
    <w:basedOn w:val="a0"/>
    <w:semiHidden/>
    <w:qFormat/>
    <w:rsid w:val="00850244"/>
  </w:style>
  <w:style w:type="paragraph" w:styleId="ac">
    <w:name w:val="Title"/>
    <w:basedOn w:val="a"/>
    <w:next w:val="aa"/>
    <w:link w:val="16"/>
    <w:qFormat/>
    <w:rsid w:val="008502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Заголовок Знак1"/>
    <w:basedOn w:val="a0"/>
    <w:link w:val="ac"/>
    <w:locked/>
    <w:rsid w:val="008502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Заголовок Знак"/>
    <w:basedOn w:val="a0"/>
    <w:qFormat/>
    <w:rsid w:val="008502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0">
    <w:name w:val="Body Text 2"/>
    <w:link w:val="22"/>
    <w:semiHidden/>
    <w:unhideWhenUsed/>
    <w:qFormat/>
    <w:rsid w:val="00850244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Liberation Serif"/>
      <w:color w:val="000000"/>
      <w:sz w:val="32"/>
      <w:szCs w:val="32"/>
      <w:lang w:eastAsia="ar-SA"/>
    </w:rPr>
  </w:style>
  <w:style w:type="character" w:customStyle="1" w:styleId="22">
    <w:name w:val="Основной текст 2 Знак2"/>
    <w:basedOn w:val="a0"/>
    <w:link w:val="20"/>
    <w:semiHidden/>
    <w:locked/>
    <w:rsid w:val="00850244"/>
    <w:rPr>
      <w:rFonts w:ascii="Times New Roman" w:eastAsia="Times New Roman" w:hAnsi="Times New Roman" w:cs="Liberation Serif"/>
      <w:color w:val="000000"/>
      <w:sz w:val="32"/>
      <w:szCs w:val="32"/>
      <w:lang w:eastAsia="ar-SA"/>
    </w:rPr>
  </w:style>
  <w:style w:type="character" w:customStyle="1" w:styleId="21">
    <w:name w:val="Основной текст 2 Знак"/>
    <w:basedOn w:val="a0"/>
    <w:semiHidden/>
    <w:qFormat/>
    <w:rsid w:val="00850244"/>
  </w:style>
  <w:style w:type="paragraph" w:styleId="ae">
    <w:name w:val="Document Map"/>
    <w:basedOn w:val="a"/>
    <w:link w:val="17"/>
    <w:semiHidden/>
    <w:unhideWhenUsed/>
    <w:qFormat/>
    <w:rsid w:val="00850244"/>
    <w:rPr>
      <w:rFonts w:ascii="Lucida Grande CY" w:eastAsia="Lucida Grande CY" w:hAnsi="Lucida Grande CY"/>
      <w:lang w:eastAsia="ar-SA"/>
    </w:rPr>
  </w:style>
  <w:style w:type="character" w:customStyle="1" w:styleId="17">
    <w:name w:val="Схема документа Знак1"/>
    <w:basedOn w:val="a0"/>
    <w:link w:val="ae"/>
    <w:semiHidden/>
    <w:locked/>
    <w:rsid w:val="00850244"/>
    <w:rPr>
      <w:rFonts w:ascii="Lucida Grande CY" w:eastAsia="Lucida Grande CY" w:hAnsi="Lucida Grande CY"/>
      <w:lang w:eastAsia="ar-SA"/>
    </w:rPr>
  </w:style>
  <w:style w:type="character" w:customStyle="1" w:styleId="af">
    <w:name w:val="Схема документа Знак"/>
    <w:basedOn w:val="a0"/>
    <w:semiHidden/>
    <w:qFormat/>
    <w:rsid w:val="00850244"/>
    <w:rPr>
      <w:rFonts w:ascii="Segoe UI" w:hAnsi="Segoe UI" w:cs="Segoe UI"/>
      <w:sz w:val="16"/>
      <w:szCs w:val="16"/>
    </w:rPr>
  </w:style>
  <w:style w:type="paragraph" w:styleId="af0">
    <w:name w:val="Plain Text"/>
    <w:basedOn w:val="a"/>
    <w:link w:val="18"/>
    <w:semiHidden/>
    <w:unhideWhenUsed/>
    <w:qFormat/>
    <w:rsid w:val="00850244"/>
    <w:rPr>
      <w:rFonts w:ascii="Calibri" w:eastAsia="0" w:hAnsi="Calibri"/>
      <w:szCs w:val="21"/>
      <w:lang w:eastAsia="ar-SA"/>
    </w:rPr>
  </w:style>
  <w:style w:type="character" w:customStyle="1" w:styleId="18">
    <w:name w:val="Текст Знак1"/>
    <w:basedOn w:val="a0"/>
    <w:link w:val="af0"/>
    <w:semiHidden/>
    <w:locked/>
    <w:rsid w:val="00850244"/>
    <w:rPr>
      <w:rFonts w:ascii="Calibri" w:eastAsia="0" w:hAnsi="Calibri"/>
      <w:szCs w:val="21"/>
      <w:lang w:eastAsia="ar-SA"/>
    </w:rPr>
  </w:style>
  <w:style w:type="character" w:customStyle="1" w:styleId="af1">
    <w:name w:val="Текст Знак"/>
    <w:basedOn w:val="a0"/>
    <w:semiHidden/>
    <w:qFormat/>
    <w:rsid w:val="00850244"/>
    <w:rPr>
      <w:rFonts w:ascii="Consolas" w:hAnsi="Consolas"/>
      <w:sz w:val="21"/>
      <w:szCs w:val="21"/>
    </w:rPr>
  </w:style>
  <w:style w:type="paragraph" w:styleId="af2">
    <w:name w:val="annotation subject"/>
    <w:link w:val="19"/>
    <w:semiHidden/>
    <w:unhideWhenUsed/>
    <w:qFormat/>
    <w:rsid w:val="00850244"/>
    <w:pPr>
      <w:suppressAutoHyphens/>
      <w:spacing w:line="240" w:lineRule="auto"/>
    </w:pPr>
    <w:rPr>
      <w:b/>
      <w:bCs/>
      <w:sz w:val="20"/>
      <w:szCs w:val="20"/>
      <w:lang w:eastAsia="ar-SA"/>
    </w:rPr>
  </w:style>
  <w:style w:type="character" w:customStyle="1" w:styleId="19">
    <w:name w:val="Тема примечания Знак1"/>
    <w:basedOn w:val="12"/>
    <w:link w:val="af2"/>
    <w:semiHidden/>
    <w:locked/>
    <w:rsid w:val="00850244"/>
    <w:rPr>
      <w:b/>
      <w:bCs/>
      <w:sz w:val="20"/>
      <w:szCs w:val="20"/>
      <w:lang w:eastAsia="ar-SA"/>
    </w:rPr>
  </w:style>
  <w:style w:type="character" w:customStyle="1" w:styleId="af3">
    <w:name w:val="Тема примечания Знак"/>
    <w:basedOn w:val="a5"/>
    <w:semiHidden/>
    <w:qFormat/>
    <w:rsid w:val="00850244"/>
    <w:rPr>
      <w:b/>
      <w:bCs/>
      <w:sz w:val="20"/>
      <w:szCs w:val="20"/>
    </w:rPr>
  </w:style>
  <w:style w:type="paragraph" w:styleId="af4">
    <w:name w:val="Balloon Text"/>
    <w:basedOn w:val="a"/>
    <w:link w:val="1a"/>
    <w:semiHidden/>
    <w:unhideWhenUsed/>
    <w:qFormat/>
    <w:rsid w:val="00850244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1a">
    <w:name w:val="Текст выноски Знак1"/>
    <w:basedOn w:val="a0"/>
    <w:link w:val="af4"/>
    <w:semiHidden/>
    <w:locked/>
    <w:rsid w:val="00850244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af5">
    <w:name w:val="Текст выноски Знак"/>
    <w:basedOn w:val="a0"/>
    <w:semiHidden/>
    <w:qFormat/>
    <w:rsid w:val="00850244"/>
    <w:rPr>
      <w:rFonts w:ascii="Segoe UI" w:hAnsi="Segoe UI" w:cs="Segoe UI"/>
      <w:sz w:val="18"/>
      <w:szCs w:val="18"/>
    </w:rPr>
  </w:style>
  <w:style w:type="paragraph" w:styleId="af6">
    <w:name w:val="No Spacing"/>
    <w:qFormat/>
    <w:rsid w:val="00850244"/>
    <w:pPr>
      <w:suppressAutoHyphens/>
      <w:spacing w:after="0" w:line="240" w:lineRule="auto"/>
    </w:pPr>
    <w:rPr>
      <w:rFonts w:ascii="Calibri" w:eastAsia="0" w:hAnsi="Calibri" w:cs="Liberation Serif"/>
      <w:lang w:eastAsia="ar-SA"/>
    </w:rPr>
  </w:style>
  <w:style w:type="paragraph" w:styleId="af7">
    <w:name w:val="List Paragraph"/>
    <w:basedOn w:val="a"/>
    <w:uiPriority w:val="34"/>
    <w:qFormat/>
    <w:rsid w:val="00850244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850244"/>
    <w:rPr>
      <w:lang w:eastAsia="ru-RU"/>
    </w:rPr>
  </w:style>
  <w:style w:type="paragraph" w:customStyle="1" w:styleId="Default">
    <w:name w:val="Default"/>
    <w:qFormat/>
    <w:rsid w:val="0085024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41">
    <w:name w:val="Style41"/>
    <w:basedOn w:val="a"/>
    <w:qFormat/>
    <w:rsid w:val="00850244"/>
    <w:pPr>
      <w:widowControl w:val="0"/>
      <w:spacing w:after="0" w:line="39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850244"/>
    <w:pPr>
      <w:widowControl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850244"/>
    <w:pPr>
      <w:widowControl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850244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850244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850244"/>
    <w:pPr>
      <w:widowControl w:val="0"/>
      <w:spacing w:after="0" w:line="499" w:lineRule="exact"/>
      <w:ind w:firstLine="266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qFormat/>
    <w:rsid w:val="00850244"/>
    <w:pPr>
      <w:widowControl w:val="0"/>
      <w:spacing w:after="0" w:line="487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qFormat/>
    <w:rsid w:val="00850244"/>
    <w:pPr>
      <w:widowControl w:val="0"/>
      <w:spacing w:after="0" w:line="482" w:lineRule="exact"/>
      <w:ind w:firstLine="62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850244"/>
    <w:pPr>
      <w:widowControl w:val="0"/>
      <w:spacing w:after="0" w:line="480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Верхний и нижний колонтитулы"/>
    <w:basedOn w:val="a"/>
    <w:qFormat/>
    <w:rsid w:val="00850244"/>
  </w:style>
  <w:style w:type="paragraph" w:customStyle="1" w:styleId="westernmrcssattr">
    <w:name w:val="western_mr_css_attr"/>
    <w:basedOn w:val="a"/>
    <w:qFormat/>
    <w:rsid w:val="00850244"/>
    <w:pPr>
      <w:suppressAutoHyphens w:val="0"/>
      <w:spacing w:before="100" w:beforeAutospacing="1" w:after="100" w:afterAutospacing="1"/>
    </w:pPr>
    <w:rPr>
      <w:rFonts w:eastAsia="Times New Roman"/>
      <w:lang w:eastAsia="ar-SA"/>
    </w:rPr>
  </w:style>
  <w:style w:type="paragraph" w:customStyle="1" w:styleId="Style4">
    <w:name w:val="Style4"/>
    <w:basedOn w:val="a"/>
    <w:qFormat/>
    <w:rsid w:val="00850244"/>
    <w:pPr>
      <w:widowControl w:val="0"/>
    </w:pPr>
  </w:style>
  <w:style w:type="paragraph" w:customStyle="1" w:styleId="Style3">
    <w:name w:val="Style3"/>
    <w:basedOn w:val="a"/>
    <w:qFormat/>
    <w:rsid w:val="00850244"/>
    <w:pPr>
      <w:widowControl w:val="0"/>
      <w:spacing w:line="274" w:lineRule="exact"/>
      <w:jc w:val="center"/>
    </w:pPr>
  </w:style>
  <w:style w:type="paragraph" w:customStyle="1" w:styleId="Style2">
    <w:name w:val="Style2"/>
    <w:basedOn w:val="a"/>
    <w:qFormat/>
    <w:rsid w:val="00850244"/>
    <w:pPr>
      <w:widowControl w:val="0"/>
    </w:pPr>
  </w:style>
  <w:style w:type="paragraph" w:customStyle="1" w:styleId="23">
    <w:name w:val="Стиль2"/>
    <w:basedOn w:val="a"/>
    <w:qFormat/>
    <w:rsid w:val="00850244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b">
    <w:name w:val="Без интервала1"/>
    <w:qFormat/>
    <w:rsid w:val="00850244"/>
    <w:pPr>
      <w:suppressAutoHyphens/>
      <w:spacing w:after="0" w:line="360" w:lineRule="auto"/>
      <w:ind w:firstLine="709"/>
      <w:jc w:val="both"/>
    </w:pPr>
    <w:rPr>
      <w:rFonts w:ascii="Calibri" w:eastAsia="Times New Roman" w:hAnsi="Calibri" w:cs="Liberation Serif"/>
      <w:sz w:val="28"/>
      <w:szCs w:val="28"/>
      <w:lang w:eastAsia="ar-SA"/>
    </w:rPr>
  </w:style>
  <w:style w:type="paragraph" w:customStyle="1" w:styleId="1c">
    <w:name w:val="Обычный1"/>
    <w:qFormat/>
    <w:rsid w:val="00850244"/>
    <w:pPr>
      <w:widowControl w:val="0"/>
      <w:suppressAutoHyphens/>
      <w:spacing w:after="0" w:line="240" w:lineRule="auto"/>
      <w:ind w:firstLine="460"/>
      <w:jc w:val="both"/>
    </w:pPr>
    <w:rPr>
      <w:rFonts w:ascii="Times New Roman" w:eastAsia="Times New Roman" w:hAnsi="Times New Roman" w:cs="Liberation Serif"/>
      <w:sz w:val="24"/>
      <w:szCs w:val="20"/>
      <w:lang w:eastAsia="ar-SA"/>
    </w:rPr>
  </w:style>
  <w:style w:type="paragraph" w:customStyle="1" w:styleId="b-articletext">
    <w:name w:val="b-article__text"/>
    <w:basedOn w:val="a"/>
    <w:qFormat/>
    <w:rsid w:val="00850244"/>
    <w:pPr>
      <w:spacing w:before="100" w:beforeAutospacing="1" w:after="100" w:afterAutospacing="1"/>
    </w:pPr>
    <w:rPr>
      <w:rFonts w:eastAsia="Times New Roman"/>
      <w:lang w:eastAsia="ar-SA"/>
    </w:rPr>
  </w:style>
  <w:style w:type="paragraph" w:customStyle="1" w:styleId="rtejustify">
    <w:name w:val="rtejustify"/>
    <w:basedOn w:val="a"/>
    <w:qFormat/>
    <w:rsid w:val="00850244"/>
    <w:pPr>
      <w:spacing w:before="100" w:beforeAutospacing="1" w:after="100" w:afterAutospacing="1"/>
    </w:pPr>
    <w:rPr>
      <w:rFonts w:eastAsia="Times New Roman"/>
      <w:lang w:eastAsia="ar-SA"/>
    </w:rPr>
  </w:style>
  <w:style w:type="paragraph" w:customStyle="1" w:styleId="24">
    <w:name w:val="Абзац списка2"/>
    <w:basedOn w:val="a"/>
    <w:qFormat/>
    <w:rsid w:val="00850244"/>
    <w:pPr>
      <w:spacing w:after="200" w:line="276" w:lineRule="auto"/>
      <w:ind w:left="720"/>
    </w:pPr>
    <w:rPr>
      <w:rFonts w:ascii="Calibri" w:eastAsia="Times New Roman" w:hAnsi="Calibri"/>
      <w:lang w:eastAsia="ar-SA"/>
    </w:rPr>
  </w:style>
  <w:style w:type="paragraph" w:customStyle="1" w:styleId="1d">
    <w:name w:val="Текст сноски Знак1"/>
    <w:basedOn w:val="a"/>
    <w:qFormat/>
    <w:rsid w:val="00850244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ar-SA"/>
    </w:rPr>
  </w:style>
  <w:style w:type="paragraph" w:customStyle="1" w:styleId="ConsPlusNormal">
    <w:name w:val="ConsPlusNormal"/>
    <w:qFormat/>
    <w:rsid w:val="00850244"/>
    <w:pPr>
      <w:widowControl w:val="0"/>
      <w:suppressAutoHyphens/>
      <w:spacing w:after="0" w:line="240" w:lineRule="auto"/>
      <w:ind w:firstLine="720"/>
    </w:pPr>
    <w:rPr>
      <w:rFonts w:ascii="Arial" w:eastAsia="Arial" w:hAnsi="Arial" w:cs="Liberation Serif"/>
      <w:sz w:val="20"/>
      <w:szCs w:val="20"/>
      <w:lang w:eastAsia="ar-SA"/>
    </w:rPr>
  </w:style>
  <w:style w:type="paragraph" w:customStyle="1" w:styleId="afa">
    <w:name w:val="Знак Знак Знак"/>
    <w:basedOn w:val="a"/>
    <w:qFormat/>
    <w:rsid w:val="00850244"/>
    <w:pPr>
      <w:spacing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FR1">
    <w:name w:val="FR1"/>
    <w:qFormat/>
    <w:rsid w:val="00850244"/>
    <w:pPr>
      <w:widowControl w:val="0"/>
      <w:suppressAutoHyphens/>
      <w:spacing w:after="0" w:line="240" w:lineRule="auto"/>
    </w:pPr>
    <w:rPr>
      <w:rFonts w:ascii="Arial" w:eastAsia="Arial Unicode MS" w:hAnsi="Arial" w:cs="Liberation Serif"/>
      <w:color w:val="000000"/>
      <w:sz w:val="16"/>
      <w:szCs w:val="16"/>
      <w:lang w:eastAsia="ar-SA"/>
    </w:rPr>
  </w:style>
  <w:style w:type="paragraph" w:customStyle="1" w:styleId="31">
    <w:name w:val="Основной текст с отступом 31"/>
    <w:basedOn w:val="a"/>
    <w:qFormat/>
    <w:rsid w:val="00850244"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  <w:lang w:eastAsia="ar-SA"/>
    </w:rPr>
  </w:style>
  <w:style w:type="paragraph" w:customStyle="1" w:styleId="210">
    <w:name w:val="Основной текст 21"/>
    <w:basedOn w:val="a"/>
    <w:qFormat/>
    <w:rsid w:val="00850244"/>
    <w:pPr>
      <w:spacing w:line="360" w:lineRule="auto"/>
      <w:ind w:firstLine="567"/>
      <w:jc w:val="both"/>
    </w:pPr>
    <w:rPr>
      <w:rFonts w:eastAsia="Times New Roman"/>
      <w:sz w:val="32"/>
      <w:szCs w:val="20"/>
      <w:lang w:eastAsia="ar-SA"/>
    </w:rPr>
  </w:style>
  <w:style w:type="paragraph" w:customStyle="1" w:styleId="afb">
    <w:name w:val="список с точками"/>
    <w:qFormat/>
    <w:rsid w:val="00850244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Liberation Serif"/>
      <w:color w:val="000000"/>
      <w:sz w:val="24"/>
      <w:szCs w:val="24"/>
      <w:lang w:eastAsia="ar-SA"/>
    </w:rPr>
  </w:style>
  <w:style w:type="paragraph" w:customStyle="1" w:styleId="3">
    <w:name w:val="Текст сноски Знак3"/>
    <w:basedOn w:val="a"/>
    <w:qFormat/>
    <w:rsid w:val="00850244"/>
    <w:pPr>
      <w:spacing w:after="200" w:line="276" w:lineRule="auto"/>
      <w:ind w:left="720"/>
      <w:contextualSpacing/>
    </w:pPr>
    <w:rPr>
      <w:rFonts w:ascii="Calibri" w:eastAsia="Times New Roman" w:hAnsi="Calibri"/>
      <w:lang w:eastAsia="ar-SA"/>
    </w:rPr>
  </w:style>
  <w:style w:type="paragraph" w:customStyle="1" w:styleId="1e">
    <w:name w:val="Список литературы1"/>
    <w:basedOn w:val="a"/>
    <w:qFormat/>
    <w:rsid w:val="00850244"/>
    <w:rPr>
      <w:rFonts w:eastAsia="Calibri"/>
      <w:lang w:eastAsia="ar-SA"/>
    </w:rPr>
  </w:style>
  <w:style w:type="paragraph" w:customStyle="1" w:styleId="Iaeaaeaiea2">
    <w:name w:val="Iaeaaeaiea 2"/>
    <w:qFormat/>
    <w:rsid w:val="00850244"/>
    <w:pPr>
      <w:suppressAutoHyphens/>
      <w:spacing w:after="0" w:line="240" w:lineRule="auto"/>
    </w:pPr>
    <w:rPr>
      <w:rFonts w:ascii="Times New Roman" w:eastAsia="Arial Unicode MS" w:hAnsi="Times New Roman" w:cs="Liberation Serif"/>
      <w:color w:val="000000"/>
      <w:sz w:val="24"/>
      <w:szCs w:val="24"/>
      <w:lang w:eastAsia="ar-SA"/>
    </w:rPr>
  </w:style>
  <w:style w:type="character" w:customStyle="1" w:styleId="afc">
    <w:name w:val="Абзац списка Знак"/>
    <w:uiPriority w:val="34"/>
    <w:qFormat/>
    <w:rsid w:val="008502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rsid w:val="00850244"/>
    <w:rPr>
      <w:color w:val="0563C1" w:themeColor="hyperlink"/>
      <w:u w:val="single"/>
    </w:rPr>
  </w:style>
  <w:style w:type="character" w:customStyle="1" w:styleId="FontStyle72">
    <w:name w:val="Font Style72"/>
    <w:basedOn w:val="a0"/>
    <w:uiPriority w:val="99"/>
    <w:qFormat/>
    <w:rsid w:val="0085024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3">
    <w:name w:val="Font Style73"/>
    <w:basedOn w:val="a0"/>
    <w:uiPriority w:val="99"/>
    <w:qFormat/>
    <w:rsid w:val="00850244"/>
    <w:rPr>
      <w:rFonts w:ascii="Times New Roman" w:hAnsi="Times New Roman" w:cs="Times New Roman" w:hint="default"/>
      <w:sz w:val="26"/>
      <w:szCs w:val="26"/>
    </w:rPr>
  </w:style>
  <w:style w:type="character" w:customStyle="1" w:styleId="FontStyle58">
    <w:name w:val="Font Style58"/>
    <w:basedOn w:val="a0"/>
    <w:uiPriority w:val="99"/>
    <w:qFormat/>
    <w:rsid w:val="0085024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fd">
    <w:name w:val="Ссылка указателя"/>
    <w:qFormat/>
    <w:rsid w:val="00850244"/>
  </w:style>
  <w:style w:type="character" w:customStyle="1" w:styleId="FontStyle15">
    <w:name w:val="Font Style15"/>
    <w:qFormat/>
    <w:rsid w:val="00850244"/>
    <w:rPr>
      <w:rFonts w:ascii="Times New Roman" w:eastAsia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13">
    <w:name w:val="Font Style13"/>
    <w:qFormat/>
    <w:rsid w:val="00850244"/>
    <w:rPr>
      <w:rFonts w:ascii="Times New Roman" w:eastAsia="Times New Roman" w:hAnsi="Times New Roman" w:cs="Times New Roman" w:hint="default"/>
      <w:color w:val="000000"/>
    </w:rPr>
  </w:style>
  <w:style w:type="character" w:customStyle="1" w:styleId="FontStyle12">
    <w:name w:val="Font Style12"/>
    <w:qFormat/>
    <w:rsid w:val="00850244"/>
    <w:rPr>
      <w:rFonts w:ascii="Times New Roman" w:eastAsia="Times New Roman" w:hAnsi="Times New Roman" w:cs="Times New Roman" w:hint="default"/>
      <w:b/>
      <w:bCs/>
      <w:color w:val="000000"/>
    </w:rPr>
  </w:style>
  <w:style w:type="character" w:customStyle="1" w:styleId="FontStyle11">
    <w:name w:val="Font Style11"/>
    <w:qFormat/>
    <w:rsid w:val="00850244"/>
    <w:rPr>
      <w:rFonts w:ascii="Times New Roman" w:eastAsia="Times New Roman" w:hAnsi="Times New Roman" w:cs="Times New Roman" w:hint="default"/>
      <w:color w:val="000000"/>
    </w:rPr>
  </w:style>
  <w:style w:type="character" w:customStyle="1" w:styleId="25">
    <w:name w:val="Стиль2 Знак"/>
    <w:qFormat/>
    <w:rsid w:val="00850244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ListParagraphChar">
    <w:name w:val="List Paragraph Char"/>
    <w:qFormat/>
    <w:rsid w:val="00850244"/>
    <w:rPr>
      <w:rFonts w:ascii="Calibri" w:eastAsia="Times New Roman" w:hAnsi="Calibri" w:cs="Calibri" w:hint="default"/>
    </w:rPr>
  </w:style>
  <w:style w:type="character" w:customStyle="1" w:styleId="afe">
    <w:name w:val="Основной текст с отступом Знак"/>
    <w:qFormat/>
    <w:rsid w:val="00850244"/>
    <w:rPr>
      <w:rFonts w:ascii="Times New Roman" w:eastAsia="Times New Roman" w:hAnsi="Times New Roman" w:cs="Times New Roman" w:hint="default"/>
    </w:rPr>
  </w:style>
  <w:style w:type="character" w:customStyle="1" w:styleId="26">
    <w:name w:val="Текст сноски Знак2"/>
    <w:qFormat/>
    <w:rsid w:val="008502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otnoteCharacters">
    <w:name w:val="Footnote Characters"/>
    <w:qFormat/>
    <w:rsid w:val="00850244"/>
    <w:rPr>
      <w:vertAlign w:val="superscript"/>
    </w:rPr>
  </w:style>
  <w:style w:type="character" w:customStyle="1" w:styleId="aff">
    <w:name w:val="Текст сноски Знак"/>
    <w:qFormat/>
    <w:rsid w:val="00850244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210pt">
    <w:name w:val="Основной текст (2) + 10 pt"/>
    <w:qFormat/>
    <w:rsid w:val="00850244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shd w:val="clear" w:color="auto" w:fill="FFFFFF"/>
    </w:rPr>
  </w:style>
  <w:style w:type="character" w:customStyle="1" w:styleId="b-articleintro">
    <w:name w:val="b-article__intro"/>
    <w:qFormat/>
    <w:rsid w:val="00850244"/>
  </w:style>
  <w:style w:type="character" w:customStyle="1" w:styleId="aff0">
    <w:name w:val="Ссылка"/>
    <w:qFormat/>
    <w:rsid w:val="00850244"/>
    <w:rPr>
      <w:color w:val="0000FF"/>
      <w:u w:val="single"/>
    </w:rPr>
  </w:style>
  <w:style w:type="character" w:customStyle="1" w:styleId="blk">
    <w:name w:val="blk"/>
    <w:qFormat/>
    <w:rsid w:val="00850244"/>
  </w:style>
  <w:style w:type="character" w:customStyle="1" w:styleId="27">
    <w:name w:val="Основной текст (2)_"/>
    <w:qFormat/>
    <w:rsid w:val="00850244"/>
    <w:rPr>
      <w:rFonts w:ascii="Times New Roman" w:eastAsia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apple-converted-space">
    <w:name w:val="apple-converted-space"/>
    <w:qFormat/>
    <w:rsid w:val="00850244"/>
  </w:style>
  <w:style w:type="character" w:customStyle="1" w:styleId="Hyperlink1">
    <w:name w:val="Hyperlink.1"/>
    <w:qFormat/>
    <w:rsid w:val="00850244"/>
    <w:rPr>
      <w:color w:val="0000FF"/>
      <w:sz w:val="28"/>
      <w:u w:val="single"/>
    </w:rPr>
  </w:style>
  <w:style w:type="character" w:customStyle="1" w:styleId="Hyperlink0">
    <w:name w:val="Hyperlink.0"/>
    <w:qFormat/>
    <w:rsid w:val="00850244"/>
    <w:rPr>
      <w:color w:val="0000FF"/>
      <w:sz w:val="28"/>
      <w:u w:val="single"/>
      <w:lang w:val="en-US"/>
    </w:rPr>
  </w:style>
  <w:style w:type="character" w:customStyle="1" w:styleId="5">
    <w:name w:val="Знак Знак5"/>
    <w:qFormat/>
    <w:rsid w:val="00850244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ar-SA"/>
    </w:rPr>
  </w:style>
  <w:style w:type="character" w:customStyle="1" w:styleId="hlnormal">
    <w:name w:val="hlnormal"/>
    <w:qFormat/>
    <w:rsid w:val="00850244"/>
  </w:style>
  <w:style w:type="character" w:customStyle="1" w:styleId="aff1">
    <w:name w:val="Основной текст + Курсив"/>
    <w:qFormat/>
    <w:rsid w:val="00850244"/>
    <w:rPr>
      <w:rFonts w:ascii="Times New Roman" w:eastAsia="Times New Roman" w:hAnsi="Times New Roman" w:cs="Times New Roman" w:hint="default"/>
      <w:i/>
      <w:iCs/>
      <w:sz w:val="25"/>
      <w:szCs w:val="25"/>
      <w:shd w:val="clear" w:color="auto" w:fill="FFFFFF"/>
    </w:rPr>
  </w:style>
  <w:style w:type="character" w:customStyle="1" w:styleId="apple-style-span">
    <w:name w:val="apple-style-span"/>
    <w:qFormat/>
    <w:rsid w:val="00850244"/>
  </w:style>
  <w:style w:type="character" w:customStyle="1" w:styleId="aff2">
    <w:name w:val="Подзаголовок Знак"/>
    <w:qFormat/>
    <w:rsid w:val="00850244"/>
    <w:rPr>
      <w:rFonts w:ascii="Times New Roman" w:eastAsia="Times New Roman" w:hAnsi="Times New Roman" w:cs="Times New Roman" w:hint="default"/>
      <w:b/>
      <w:bCs w:val="0"/>
      <w:szCs w:val="20"/>
    </w:rPr>
  </w:style>
  <w:style w:type="character" w:customStyle="1" w:styleId="9">
    <w:name w:val="Заголовок 9 Знак"/>
    <w:qFormat/>
    <w:rsid w:val="00850244"/>
    <w:rPr>
      <w:rFonts w:ascii="Calibri Light" w:eastAsia="0" w:hAnsi="Calibri Light" w:cs="Calibri Light" w:hint="default"/>
      <w:i/>
      <w:iCs/>
      <w:color w:val="404040"/>
      <w:sz w:val="20"/>
      <w:szCs w:val="20"/>
    </w:rPr>
  </w:style>
  <w:style w:type="character" w:customStyle="1" w:styleId="8">
    <w:name w:val="Заголовок 8 Знак"/>
    <w:qFormat/>
    <w:rsid w:val="00850244"/>
    <w:rPr>
      <w:rFonts w:ascii="Times New Roman" w:eastAsia="Times New Roman" w:hAnsi="Times New Roman" w:cs="Times New Roman" w:hint="default"/>
      <w:i/>
      <w:iCs/>
    </w:rPr>
  </w:style>
  <w:style w:type="character" w:customStyle="1" w:styleId="50">
    <w:name w:val="Заголовок 5 Знак"/>
    <w:qFormat/>
    <w:rsid w:val="00850244"/>
    <w:rPr>
      <w:rFonts w:ascii="Calibri" w:eastAsia="Times New Roman" w:hAnsi="Calibri" w:cs="Calibri" w:hint="default"/>
      <w:b/>
      <w:bCs/>
      <w:i/>
      <w:iCs/>
      <w:sz w:val="26"/>
      <w:szCs w:val="26"/>
    </w:rPr>
  </w:style>
  <w:style w:type="character" w:customStyle="1" w:styleId="4">
    <w:name w:val="Текст сноски Знак4"/>
    <w:qFormat/>
    <w:rsid w:val="00850244"/>
    <w:rPr>
      <w:rFonts w:ascii="Calibri Light" w:eastAsia="0" w:hAnsi="Calibri Light" w:cs="Calibri Light" w:hint="default"/>
      <w:b/>
      <w:bCs/>
      <w:color w:val="5B9BD5"/>
    </w:rPr>
  </w:style>
  <w:style w:type="character" w:customStyle="1" w:styleId="211">
    <w:name w:val="Основной текст 2 Знак1"/>
    <w:qFormat/>
    <w:rsid w:val="00850244"/>
    <w:rPr>
      <w:rFonts w:ascii="Calibri Light" w:eastAsia="0" w:hAnsi="Calibri Light" w:cs="Calibri Light" w:hint="default"/>
      <w:b/>
      <w:bCs/>
      <w:color w:val="5B9BD5"/>
      <w:sz w:val="26"/>
      <w:szCs w:val="26"/>
    </w:rPr>
  </w:style>
  <w:style w:type="character" w:customStyle="1" w:styleId="aff3">
    <w:name w:val="Символ нумерации"/>
    <w:qFormat/>
    <w:rsid w:val="00850244"/>
  </w:style>
  <w:style w:type="table" w:styleId="aff4">
    <w:name w:val="Table Grid"/>
    <w:basedOn w:val="a1"/>
    <w:uiPriority w:val="39"/>
    <w:rsid w:val="0085024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5024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0"/>
    <w:uiPriority w:val="99"/>
    <w:semiHidden/>
    <w:unhideWhenUsed/>
    <w:rsid w:val="008502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4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5" Type="http://schemas.openxmlformats.org/officeDocument/2006/relationships/hyperlink" Target="http://www.febea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0;&#1086;&#1088;&#1087;&#1086;&#1088;&#1072;&#1090;&#1080;&#1074;&#1085;&#1086;&#1077;%20&#1091;&#1087;&#1088;&#1072;&#1074;&#1083;&#1077;&#1085;&#1080;&#1077;%20&#1074;%20&#1048;&#1060;&#1056;%20(&#1060;&#1080;&#1050;,%20&#1056;&#1052;&#1085;&#1072;&#1060;&#1056;)%20&#1087;&#1077;&#1095;&#1072;&#1090;&#1100;%20(1)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57745-C54D-4987-A8AF-96B0207E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33</Pages>
  <Words>8953</Words>
  <Characters>51037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2</cp:revision>
  <dcterms:created xsi:type="dcterms:W3CDTF">2023-07-07T09:03:00Z</dcterms:created>
  <dcterms:modified xsi:type="dcterms:W3CDTF">2023-07-07T10:10:00Z</dcterms:modified>
</cp:coreProperties>
</file>